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B6D" w:rsidRPr="00D71B85" w:rsidRDefault="00427B6D" w:rsidP="00427B6D">
      <w:pPr>
        <w:jc w:val="center"/>
        <w:rPr>
          <w:b/>
          <w:szCs w:val="28"/>
        </w:rPr>
      </w:pPr>
      <w:r>
        <w:rPr>
          <w:b/>
          <w:szCs w:val="28"/>
        </w:rPr>
        <w:t>П</w:t>
      </w:r>
      <w:r w:rsidRPr="00D71B85">
        <w:rPr>
          <w:b/>
          <w:szCs w:val="28"/>
        </w:rPr>
        <w:t>ОЯСНЮВАЛЬНА ЗАПИСКА</w:t>
      </w:r>
    </w:p>
    <w:p w:rsidR="00427B6D" w:rsidRPr="00D71B85" w:rsidRDefault="00427B6D" w:rsidP="00427B6D">
      <w:pPr>
        <w:jc w:val="center"/>
        <w:rPr>
          <w:b/>
        </w:rPr>
      </w:pPr>
      <w:r w:rsidRPr="00D71B85">
        <w:rPr>
          <w:b/>
        </w:rPr>
        <w:t>до проєкту бюджету Тростянецької міської територіальної громади</w:t>
      </w:r>
    </w:p>
    <w:p w:rsidR="00427B6D" w:rsidRPr="00D71B85" w:rsidRDefault="00427B6D" w:rsidP="00427B6D">
      <w:pPr>
        <w:jc w:val="center"/>
        <w:rPr>
          <w:b/>
        </w:rPr>
      </w:pPr>
      <w:r w:rsidRPr="00D71B85">
        <w:rPr>
          <w:b/>
        </w:rPr>
        <w:t>на 202</w:t>
      </w:r>
      <w:r>
        <w:rPr>
          <w:b/>
        </w:rPr>
        <w:t>6</w:t>
      </w:r>
      <w:r w:rsidRPr="00D71B85">
        <w:rPr>
          <w:b/>
        </w:rPr>
        <w:t xml:space="preserve"> рік</w:t>
      </w:r>
    </w:p>
    <w:p w:rsidR="00427B6D" w:rsidRPr="00D71B85" w:rsidRDefault="00427B6D" w:rsidP="00427B6D">
      <w:pPr>
        <w:ind w:firstLine="720"/>
        <w:jc w:val="both"/>
        <w:rPr>
          <w:bCs/>
          <w:szCs w:val="28"/>
        </w:rPr>
      </w:pPr>
    </w:p>
    <w:p w:rsidR="00427B6D" w:rsidRPr="00754EA5" w:rsidRDefault="00427B6D" w:rsidP="00820D8C">
      <w:pPr>
        <w:ind w:firstLine="567"/>
        <w:jc w:val="both"/>
        <w:rPr>
          <w:sz w:val="26"/>
          <w:szCs w:val="26"/>
        </w:rPr>
      </w:pPr>
      <w:r w:rsidRPr="00754EA5">
        <w:rPr>
          <w:bCs/>
          <w:sz w:val="26"/>
          <w:szCs w:val="26"/>
        </w:rPr>
        <w:t>Проєкт бюджету Тростянецької міської  територіальної громади на 2026 рік сформовано з урахуванням вимог чинних Податкового і Бюджетного кодексів України та інших законодавчих актів, очікуваних надходжень за 2025 рік, відповідно постанови Кабінету Міністрів України від 11 березня 2022 року № 252 «Деякі питання формування та виконання місцевих бюджетів у період воєнного стану»,</w:t>
      </w:r>
      <w:r w:rsidRPr="00754EA5">
        <w:rPr>
          <w:sz w:val="26"/>
          <w:szCs w:val="26"/>
        </w:rPr>
        <w:t xml:space="preserve"> </w:t>
      </w:r>
      <w:r w:rsidRPr="00754EA5">
        <w:rPr>
          <w:bCs/>
          <w:sz w:val="26"/>
          <w:szCs w:val="26"/>
        </w:rPr>
        <w:t xml:space="preserve">з урахуванням прийнятого Закону України «Про Державний бюджет України на 2026 рік», Бюджетної декларації на 2026-2028 роки, схваленої постановою Кабінету Міністрів України від 27.06.2025 №774 </w:t>
      </w:r>
      <w:r w:rsidRPr="00754EA5">
        <w:rPr>
          <w:sz w:val="26"/>
          <w:szCs w:val="26"/>
        </w:rPr>
        <w:t>та стратегії розвитку Тростянецької міської територіальної громади.</w:t>
      </w:r>
    </w:p>
    <w:p w:rsidR="00427B6D" w:rsidRPr="00754EA5" w:rsidRDefault="00427B6D" w:rsidP="00427B6D">
      <w:pPr>
        <w:ind w:firstLine="720"/>
        <w:jc w:val="center"/>
        <w:rPr>
          <w:b/>
          <w:sz w:val="26"/>
          <w:szCs w:val="26"/>
        </w:rPr>
      </w:pPr>
    </w:p>
    <w:p w:rsidR="00820D8C" w:rsidRDefault="00427B6D" w:rsidP="00820D8C">
      <w:pPr>
        <w:pStyle w:val="a5"/>
        <w:numPr>
          <w:ilvl w:val="0"/>
          <w:numId w:val="1"/>
        </w:numPr>
        <w:ind w:left="0" w:firstLine="0"/>
        <w:jc w:val="center"/>
        <w:rPr>
          <w:rFonts w:ascii="Times New Roman" w:hAnsi="Times New Roman" w:cs="Times New Roman"/>
          <w:b/>
          <w:sz w:val="26"/>
          <w:szCs w:val="26"/>
        </w:rPr>
      </w:pPr>
      <w:r w:rsidRPr="00754EA5">
        <w:rPr>
          <w:rFonts w:ascii="Times New Roman" w:hAnsi="Times New Roman" w:cs="Times New Roman"/>
          <w:b/>
          <w:sz w:val="26"/>
          <w:szCs w:val="26"/>
        </w:rPr>
        <w:t xml:space="preserve">Інформація про соціально-економічний стан у 2025 році </w:t>
      </w:r>
    </w:p>
    <w:p w:rsidR="00427B6D" w:rsidRPr="00754EA5" w:rsidRDefault="00427B6D" w:rsidP="00820D8C">
      <w:pPr>
        <w:pStyle w:val="a5"/>
        <w:ind w:left="0"/>
        <w:jc w:val="center"/>
        <w:rPr>
          <w:rFonts w:ascii="Times New Roman" w:hAnsi="Times New Roman" w:cs="Times New Roman"/>
          <w:b/>
          <w:sz w:val="26"/>
          <w:szCs w:val="26"/>
        </w:rPr>
      </w:pPr>
      <w:r w:rsidRPr="00754EA5">
        <w:rPr>
          <w:rFonts w:ascii="Times New Roman" w:hAnsi="Times New Roman" w:cs="Times New Roman"/>
          <w:b/>
          <w:sz w:val="26"/>
          <w:szCs w:val="26"/>
        </w:rPr>
        <w:t>і прогноз розвитку на 2026 рік, покладені в основу бюджету Тростянецької міської територіальної громади</w:t>
      </w:r>
    </w:p>
    <w:p w:rsidR="00427B6D" w:rsidRPr="00754EA5" w:rsidRDefault="00427B6D" w:rsidP="00427B6D">
      <w:pPr>
        <w:ind w:firstLine="720"/>
        <w:jc w:val="both"/>
        <w:rPr>
          <w:sz w:val="26"/>
          <w:szCs w:val="26"/>
        </w:rPr>
      </w:pPr>
    </w:p>
    <w:p w:rsidR="00427B6D" w:rsidRPr="00754EA5" w:rsidRDefault="00427B6D" w:rsidP="00820D8C">
      <w:pPr>
        <w:ind w:firstLine="567"/>
        <w:jc w:val="both"/>
        <w:rPr>
          <w:bCs/>
          <w:sz w:val="26"/>
          <w:szCs w:val="26"/>
        </w:rPr>
      </w:pPr>
      <w:r w:rsidRPr="00754EA5">
        <w:rPr>
          <w:bCs/>
          <w:sz w:val="26"/>
          <w:szCs w:val="26"/>
        </w:rPr>
        <w:t>З моменту повномасштабного вторгнення російської федерації зусилля влади громади були в першу чергу спрямовані на: підтримку обороноздатності, територіальної оборони, забезпечення функціонування об’єктів критичної інфраструктури, транспорту, закладів охорони здоров’я та соціального захисту, задоволення гуманітарних потреб населення, в тому числі внутрішньо переміщених осіб, відновлення об’єктів, житлового фонду, пошкоджених під час воєнних дій, підготовку до опалювального сезону.</w:t>
      </w:r>
    </w:p>
    <w:p w:rsidR="00427B6D" w:rsidRPr="00754EA5" w:rsidRDefault="00427B6D" w:rsidP="00820D8C">
      <w:pPr>
        <w:shd w:val="clear" w:color="auto" w:fill="FFFFFF"/>
        <w:ind w:firstLine="567"/>
        <w:jc w:val="both"/>
        <w:rPr>
          <w:color w:val="000000"/>
          <w:sz w:val="26"/>
          <w:szCs w:val="26"/>
        </w:rPr>
      </w:pPr>
      <w:r w:rsidRPr="00754EA5">
        <w:rPr>
          <w:sz w:val="26"/>
          <w:szCs w:val="26"/>
          <w:shd w:val="clear" w:color="auto" w:fill="FFFFFF"/>
        </w:rPr>
        <w:t xml:space="preserve">Війна внесла суттєві корективи в роботу багатьох підприємств та установ як приватної, так і державної та комунальної власності. </w:t>
      </w:r>
    </w:p>
    <w:p w:rsidR="00427B6D" w:rsidRPr="00754EA5" w:rsidRDefault="00427B6D" w:rsidP="00820D8C">
      <w:pPr>
        <w:ind w:firstLine="567"/>
        <w:jc w:val="both"/>
        <w:rPr>
          <w:sz w:val="26"/>
          <w:szCs w:val="26"/>
          <w:shd w:val="clear" w:color="auto" w:fill="FFFFFF"/>
        </w:rPr>
      </w:pPr>
      <w:r w:rsidRPr="00754EA5">
        <w:rPr>
          <w:sz w:val="26"/>
          <w:szCs w:val="26"/>
          <w:shd w:val="clear" w:color="auto" w:fill="FFFFFF"/>
        </w:rPr>
        <w:t>За більш, ніж 3,5 року повномасштабної війни проти російського агресора малий та середній бізнес громади залишається активним учасником боротьби за незалежність України.  Навіть в умовах війни бізнес працює, платить податки та дає  ресурс для продовження оборони.</w:t>
      </w:r>
    </w:p>
    <w:p w:rsidR="00427B6D" w:rsidRPr="00754EA5" w:rsidRDefault="00427B6D" w:rsidP="00820D8C">
      <w:pPr>
        <w:shd w:val="clear" w:color="auto" w:fill="FFFFFF"/>
        <w:overflowPunct w:val="0"/>
        <w:autoSpaceDE w:val="0"/>
        <w:autoSpaceDN w:val="0"/>
        <w:adjustRightInd w:val="0"/>
        <w:ind w:firstLine="567"/>
        <w:jc w:val="both"/>
        <w:textAlignment w:val="baseline"/>
        <w:rPr>
          <w:sz w:val="26"/>
          <w:szCs w:val="26"/>
        </w:rPr>
      </w:pPr>
      <w:r w:rsidRPr="00754EA5">
        <w:rPr>
          <w:sz w:val="26"/>
          <w:szCs w:val="26"/>
        </w:rPr>
        <w:t>На постійній основі співпраця з фахівцями Філії Тростянецького районного центру зайнятості, приймання участі у проведенні  8 семінарів-нарад з потенційними працівниками, щодо їх працевлаштування. Також прийняття участі у проведенні робочих зустрічей з суб’єктами господарювання, щодо працевлаштування безробітного населення та вразливої групи населення, осіб з обмеженими можливостями та 1 семінар-нараду з питання надання компенсації при працевлаштуванні ВПО.</w:t>
      </w:r>
    </w:p>
    <w:p w:rsidR="00427B6D" w:rsidRPr="00754EA5" w:rsidRDefault="00427B6D" w:rsidP="00820D8C">
      <w:pPr>
        <w:shd w:val="clear" w:color="auto" w:fill="FFFFFF"/>
        <w:overflowPunct w:val="0"/>
        <w:autoSpaceDE w:val="0"/>
        <w:autoSpaceDN w:val="0"/>
        <w:adjustRightInd w:val="0"/>
        <w:ind w:firstLine="567"/>
        <w:jc w:val="both"/>
        <w:textAlignment w:val="baseline"/>
        <w:rPr>
          <w:sz w:val="26"/>
          <w:szCs w:val="26"/>
        </w:rPr>
      </w:pPr>
      <w:r w:rsidRPr="00754EA5">
        <w:rPr>
          <w:sz w:val="26"/>
          <w:szCs w:val="26"/>
        </w:rPr>
        <w:t xml:space="preserve">Проведено 14 </w:t>
      </w:r>
      <w:r w:rsidRPr="00754EA5">
        <w:rPr>
          <w:rFonts w:eastAsia="Calibri"/>
          <w:sz w:val="26"/>
          <w:szCs w:val="26"/>
        </w:rPr>
        <w:t>заходів інформаційної роботи серед суб’єктів господарювання та найманих працівників стосовно неприпустимості використання незадекларованої праці. Заходи роз’яснювальної роботи проводилась в галузях торгівлі, послуг, сільського  господарства.</w:t>
      </w:r>
    </w:p>
    <w:p w:rsidR="00427B6D" w:rsidRPr="00754EA5" w:rsidRDefault="00427B6D" w:rsidP="00820D8C">
      <w:pPr>
        <w:ind w:firstLine="567"/>
        <w:jc w:val="both"/>
        <w:rPr>
          <w:sz w:val="26"/>
          <w:szCs w:val="26"/>
          <w:highlight w:val="yellow"/>
        </w:rPr>
      </w:pPr>
      <w:r w:rsidRPr="00754EA5">
        <w:rPr>
          <w:sz w:val="26"/>
          <w:szCs w:val="26"/>
        </w:rPr>
        <w:t xml:space="preserve">За результатами проведених заходів за 9 місяців зареєструвалися </w:t>
      </w:r>
      <w:r w:rsidRPr="00754EA5">
        <w:rPr>
          <w:sz w:val="26"/>
          <w:szCs w:val="26"/>
          <w:shd w:val="clear" w:color="auto" w:fill="FFFFFF"/>
        </w:rPr>
        <w:t>суб’єктами господарювання 10 осіб та 8 суб’єктів господарювання зареєстрували 16</w:t>
      </w:r>
      <w:r w:rsidRPr="00754EA5">
        <w:rPr>
          <w:sz w:val="26"/>
          <w:szCs w:val="26"/>
          <w:shd w:val="clear" w:color="auto" w:fill="FFFFFF"/>
          <w:lang w:val="ru-RU"/>
        </w:rPr>
        <w:t> </w:t>
      </w:r>
      <w:r w:rsidRPr="00754EA5">
        <w:rPr>
          <w:sz w:val="26"/>
          <w:szCs w:val="26"/>
          <w:shd w:val="clear" w:color="auto" w:fill="FFFFFF"/>
        </w:rPr>
        <w:t>найманих</w:t>
      </w:r>
      <w:r w:rsidRPr="00754EA5">
        <w:rPr>
          <w:sz w:val="26"/>
          <w:szCs w:val="26"/>
          <w:shd w:val="clear" w:color="auto" w:fill="FFFFFF"/>
          <w:lang w:val="ru-RU"/>
        </w:rPr>
        <w:t> </w:t>
      </w:r>
      <w:r w:rsidRPr="00754EA5">
        <w:rPr>
          <w:sz w:val="26"/>
          <w:szCs w:val="26"/>
          <w:shd w:val="clear" w:color="auto" w:fill="FFFFFF"/>
        </w:rPr>
        <w:t>працівників</w:t>
      </w:r>
      <w:r w:rsidRPr="00754EA5">
        <w:rPr>
          <w:sz w:val="26"/>
          <w:szCs w:val="26"/>
          <w:shd w:val="clear" w:color="auto" w:fill="FFFFFF"/>
          <w:lang w:val="ru-RU"/>
        </w:rPr>
        <w:t> </w:t>
      </w:r>
      <w:r w:rsidRPr="00754EA5">
        <w:rPr>
          <w:sz w:val="26"/>
          <w:szCs w:val="26"/>
          <w:shd w:val="clear" w:color="auto" w:fill="FFFFFF"/>
        </w:rPr>
        <w:t>відповідно до чинного законодавства.</w:t>
      </w:r>
    </w:p>
    <w:p w:rsidR="00427B6D" w:rsidRPr="00754EA5" w:rsidRDefault="00427B6D" w:rsidP="00820D8C">
      <w:pPr>
        <w:ind w:firstLine="567"/>
        <w:jc w:val="both"/>
        <w:rPr>
          <w:sz w:val="26"/>
          <w:szCs w:val="26"/>
          <w:shd w:val="clear" w:color="auto" w:fill="FFFFFF"/>
          <w:lang w:val="ru-RU"/>
        </w:rPr>
      </w:pPr>
      <w:r w:rsidRPr="00754EA5">
        <w:rPr>
          <w:sz w:val="26"/>
          <w:szCs w:val="26"/>
          <w:shd w:val="clear" w:color="auto" w:fill="FFFFFF"/>
        </w:rPr>
        <w:t>Було укладено 118 договорів оренди землі із них 109 сільськогосподарського призначення, загальною площею 501,7 га на загальну суму орендної плати 2 млн. гривень.</w:t>
      </w:r>
    </w:p>
    <w:p w:rsidR="00427B6D" w:rsidRPr="00754EA5" w:rsidRDefault="00427B6D" w:rsidP="00820D8C">
      <w:pPr>
        <w:ind w:firstLine="567"/>
        <w:jc w:val="both"/>
        <w:rPr>
          <w:sz w:val="26"/>
          <w:szCs w:val="26"/>
          <w:shd w:val="clear" w:color="auto" w:fill="FFFFFF"/>
          <w:lang w:val="ru-RU"/>
        </w:rPr>
      </w:pPr>
      <w:r w:rsidRPr="00754EA5">
        <w:rPr>
          <w:sz w:val="26"/>
          <w:szCs w:val="26"/>
          <w:shd w:val="clear" w:color="auto" w:fill="FFFFFF"/>
        </w:rPr>
        <w:lastRenderedPageBreak/>
        <w:t>За 9 місяців шляхом аукціонів було реалізовано 4 житлових будинки на загальну суму 181,8 тис. гривень.</w:t>
      </w:r>
    </w:p>
    <w:p w:rsidR="00427B6D" w:rsidRPr="00754EA5" w:rsidRDefault="00427B6D" w:rsidP="00820D8C">
      <w:pPr>
        <w:ind w:firstLine="567"/>
        <w:jc w:val="both"/>
        <w:rPr>
          <w:sz w:val="26"/>
          <w:szCs w:val="26"/>
          <w:shd w:val="clear" w:color="auto" w:fill="FFFFFF"/>
          <w:lang w:val="ru-RU"/>
        </w:rPr>
      </w:pPr>
    </w:p>
    <w:p w:rsidR="00427B6D" w:rsidRPr="00754EA5" w:rsidRDefault="00427B6D" w:rsidP="00820D8C">
      <w:pPr>
        <w:ind w:firstLine="567"/>
        <w:jc w:val="both"/>
        <w:rPr>
          <w:sz w:val="26"/>
          <w:szCs w:val="26"/>
          <w:shd w:val="clear" w:color="auto" w:fill="FFFFFF"/>
        </w:rPr>
      </w:pPr>
      <w:r w:rsidRPr="00754EA5">
        <w:rPr>
          <w:sz w:val="26"/>
          <w:szCs w:val="26"/>
          <w:shd w:val="clear" w:color="auto" w:fill="FFFFFF"/>
        </w:rPr>
        <w:t>Питання енергоефективності в наш час стає особливо актуальним і енергозбереження є одними з пріоритетів соціально-економічної розбудови території громади.</w:t>
      </w:r>
    </w:p>
    <w:p w:rsidR="00427B6D" w:rsidRPr="00754EA5" w:rsidRDefault="00427B6D" w:rsidP="00820D8C">
      <w:pPr>
        <w:shd w:val="clear" w:color="auto" w:fill="FFFFFF" w:themeFill="background1"/>
        <w:tabs>
          <w:tab w:val="num" w:pos="720"/>
        </w:tabs>
        <w:ind w:firstLine="567"/>
        <w:jc w:val="both"/>
        <w:rPr>
          <w:sz w:val="26"/>
          <w:szCs w:val="26"/>
        </w:rPr>
      </w:pPr>
      <w:r w:rsidRPr="00754EA5">
        <w:rPr>
          <w:sz w:val="26"/>
          <w:szCs w:val="26"/>
        </w:rPr>
        <w:t xml:space="preserve">Завдяки співпраці Тростянецької міської ради з міжнародним партнером </w:t>
      </w:r>
      <w:r w:rsidRPr="00754EA5">
        <w:rPr>
          <w:sz w:val="26"/>
          <w:szCs w:val="26"/>
          <w:lang w:val="de-DE"/>
        </w:rPr>
        <w:t xml:space="preserve">DUG.Montabaur </w:t>
      </w:r>
      <w:r w:rsidRPr="00754EA5">
        <w:rPr>
          <w:sz w:val="26"/>
          <w:szCs w:val="26"/>
        </w:rPr>
        <w:t xml:space="preserve">у комунальних закладах дошкільної освіти (ясла-садок) «Казка» та «Ромашка» встановлено сучасні сонячні станції потужністю 40 кВт, які за звітний період виробили – 13 000 кВт та 11 960 кВт відповідно. А також, завдяки співпраці з </w:t>
      </w:r>
      <w:r w:rsidRPr="00754EA5">
        <w:rPr>
          <w:sz w:val="26"/>
          <w:szCs w:val="26"/>
          <w:lang w:val="en-US"/>
        </w:rPr>
        <w:t>GIZ</w:t>
      </w:r>
      <w:r w:rsidRPr="00754EA5">
        <w:rPr>
          <w:sz w:val="26"/>
          <w:szCs w:val="26"/>
        </w:rPr>
        <w:t xml:space="preserve"> та німецькою компанію </w:t>
      </w:r>
      <w:r w:rsidRPr="00754EA5">
        <w:rPr>
          <w:sz w:val="26"/>
          <w:szCs w:val="26"/>
          <w:lang w:val="de-DE"/>
        </w:rPr>
        <w:t xml:space="preserve">SENS </w:t>
      </w:r>
      <w:r w:rsidRPr="00754EA5">
        <w:rPr>
          <w:sz w:val="26"/>
          <w:szCs w:val="26"/>
        </w:rPr>
        <w:t>у комунальному закладі дошкільної освіти «Калинка» встановлено сучасну сонячну станцію потужність 12,5 кВт, яка виробила 712 кВт.</w:t>
      </w:r>
    </w:p>
    <w:p w:rsidR="00427B6D" w:rsidRPr="00754EA5" w:rsidRDefault="00427B6D" w:rsidP="00820D8C">
      <w:pPr>
        <w:shd w:val="clear" w:color="auto" w:fill="FFFFFF" w:themeFill="background1"/>
        <w:tabs>
          <w:tab w:val="num" w:pos="720"/>
        </w:tabs>
        <w:ind w:firstLine="567"/>
        <w:jc w:val="both"/>
        <w:rPr>
          <w:sz w:val="26"/>
          <w:szCs w:val="26"/>
        </w:rPr>
      </w:pPr>
      <w:r w:rsidRPr="00754EA5">
        <w:rPr>
          <w:sz w:val="26"/>
          <w:szCs w:val="26"/>
        </w:rPr>
        <w:t>Також, приміщення міської ради облаштовано сонячною станцією потужністю  40 кВт, яка виробила 23 880 кВт.</w:t>
      </w:r>
    </w:p>
    <w:p w:rsidR="00427B6D" w:rsidRPr="00754EA5" w:rsidRDefault="00427B6D" w:rsidP="00820D8C">
      <w:pPr>
        <w:ind w:firstLine="567"/>
        <w:jc w:val="both"/>
        <w:rPr>
          <w:sz w:val="26"/>
          <w:szCs w:val="26"/>
        </w:rPr>
      </w:pPr>
      <w:r w:rsidRPr="00754EA5">
        <w:rPr>
          <w:sz w:val="26"/>
          <w:szCs w:val="26"/>
        </w:rPr>
        <w:t>З метою зменшення видатків на електричну енергію та розвитку енергозберігаючих технологій в міській лікарні встановлені сонячні панелі потужністю 45 кВт на дитячому корпусі та 75 кВт на стаціонарному корпусі. За січень-вересень 2025 року генерація електричної енергії сонячними станціями складає 66,3 мВт, видатки на електричну енергію зменшилися на суму 696,1 тис. гривень.</w:t>
      </w:r>
    </w:p>
    <w:p w:rsidR="00427B6D" w:rsidRPr="00754EA5" w:rsidRDefault="00427B6D" w:rsidP="00820D8C">
      <w:pPr>
        <w:overflowPunct w:val="0"/>
        <w:autoSpaceDE w:val="0"/>
        <w:autoSpaceDN w:val="0"/>
        <w:adjustRightInd w:val="0"/>
        <w:ind w:firstLine="567"/>
        <w:jc w:val="both"/>
        <w:textAlignment w:val="baseline"/>
        <w:rPr>
          <w:sz w:val="26"/>
          <w:szCs w:val="26"/>
        </w:rPr>
      </w:pPr>
      <w:r w:rsidRPr="00754EA5">
        <w:rPr>
          <w:sz w:val="26"/>
          <w:szCs w:val="26"/>
        </w:rPr>
        <w:t>За рахунок Фонду ліквідації наслідків збройної агресії, продовжуються роботи з термомодернізації дитячого відділення лікарні, вартість даних робіт з урахуванням вже виконаних робіт в поліклініці складає 35,8 млн. гривень.</w:t>
      </w:r>
    </w:p>
    <w:p w:rsidR="00427B6D" w:rsidRPr="00754EA5" w:rsidRDefault="00427B6D" w:rsidP="00820D8C">
      <w:pPr>
        <w:ind w:firstLine="567"/>
        <w:jc w:val="both"/>
        <w:rPr>
          <w:sz w:val="26"/>
          <w:szCs w:val="26"/>
        </w:rPr>
      </w:pPr>
      <w:r w:rsidRPr="00754EA5">
        <w:rPr>
          <w:sz w:val="26"/>
          <w:szCs w:val="26"/>
        </w:rPr>
        <w:t>Продовжується капітальний ремонт з термомодернізацією інфекційного відділення Тростянецької міської лікарні, загальна вартість будівельних робіт, за результатами проведеного тендеру складає 8,9 млн. гривень, фінансування за рахунок GIZ у розмірі 200 тисяч Євро та співфінансування з міського бюджету. Також проведено встановлення резервної модульної транспортабельної теплогенераторної по вул. Миру, 7 вартістю 3,3 млн. гривень (за рахунок GIZ).</w:t>
      </w:r>
    </w:p>
    <w:p w:rsidR="00427B6D" w:rsidRPr="00754EA5" w:rsidRDefault="00427B6D" w:rsidP="00820D8C">
      <w:pPr>
        <w:ind w:firstLine="567"/>
        <w:jc w:val="both"/>
        <w:rPr>
          <w:sz w:val="26"/>
          <w:szCs w:val="26"/>
        </w:rPr>
      </w:pPr>
      <w:r w:rsidRPr="00754EA5">
        <w:rPr>
          <w:sz w:val="26"/>
          <w:szCs w:val="26"/>
        </w:rPr>
        <w:t>За рахунок Фонду ліквідації наслідків збройної агресії, продовжуються  роботи з термомодернізації дитячого відділення лікарні, вартість даних робіт з урахуванням вже виконаних робіт в поліклініці складає 19,8 млн. гривень та виконано ремонт внутрішніх приміщень поліклініки на загальну вартість 17,3 млн. гривень.</w:t>
      </w:r>
    </w:p>
    <w:p w:rsidR="00427B6D" w:rsidRPr="00754EA5" w:rsidRDefault="00427B6D" w:rsidP="00820D8C">
      <w:pPr>
        <w:tabs>
          <w:tab w:val="left" w:pos="993"/>
        </w:tabs>
        <w:ind w:firstLine="567"/>
        <w:contextualSpacing/>
        <w:jc w:val="both"/>
        <w:rPr>
          <w:rFonts w:eastAsia="Calibri"/>
          <w:sz w:val="26"/>
          <w:szCs w:val="26"/>
          <w:highlight w:val="yellow"/>
        </w:rPr>
      </w:pPr>
    </w:p>
    <w:p w:rsidR="00427B6D" w:rsidRPr="00754EA5" w:rsidRDefault="00427B6D" w:rsidP="00820D8C">
      <w:pPr>
        <w:ind w:firstLine="567"/>
        <w:jc w:val="both"/>
        <w:rPr>
          <w:rFonts w:eastAsia="Calibri"/>
          <w:sz w:val="26"/>
          <w:szCs w:val="26"/>
        </w:rPr>
      </w:pPr>
      <w:r w:rsidRPr="00754EA5">
        <w:rPr>
          <w:rFonts w:eastAsia="Calibri"/>
          <w:sz w:val="26"/>
          <w:szCs w:val="26"/>
        </w:rPr>
        <w:t xml:space="preserve">В рамках програми «єВідновлення»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w:t>
      </w:r>
      <w:r w:rsidRPr="00754EA5">
        <w:rPr>
          <w:rFonts w:eastAsia="Calibri"/>
          <w:color w:val="000000"/>
          <w:sz w:val="26"/>
          <w:szCs w:val="26"/>
        </w:rPr>
        <w:t xml:space="preserve">проти України заявниками за звітний період подано 57 заяв про надання компенсації за пошкоджене майно, на загальну суму 3,4 млн. гривень. Про надання компенсації за знищене майно подано 3 заяви, </w:t>
      </w:r>
      <w:r w:rsidRPr="00754EA5">
        <w:rPr>
          <w:rFonts w:eastAsia="Calibri"/>
          <w:sz w:val="26"/>
          <w:szCs w:val="26"/>
        </w:rPr>
        <w:t>на загальну суму 4,3 млн. гривень. Загалом з початку роботи програми «єВідновлення» подано 441 заява про надання компенсації за пошкоджене та знищене майно, на загальну суму 83,6 млн. гривень.</w:t>
      </w:r>
    </w:p>
    <w:p w:rsidR="00427B6D" w:rsidRPr="00754EA5" w:rsidRDefault="00427B6D" w:rsidP="00820D8C">
      <w:pPr>
        <w:ind w:firstLine="567"/>
        <w:jc w:val="both"/>
        <w:rPr>
          <w:color w:val="000000"/>
          <w:sz w:val="26"/>
          <w:szCs w:val="26"/>
          <w:bdr w:val="none" w:sz="0" w:space="0" w:color="auto" w:frame="1"/>
          <w:lang w:eastAsia="uk-UA"/>
        </w:rPr>
      </w:pPr>
      <w:r w:rsidRPr="00754EA5">
        <w:rPr>
          <w:color w:val="000000"/>
          <w:sz w:val="26"/>
          <w:szCs w:val="26"/>
          <w:bdr w:val="none" w:sz="0" w:space="0" w:color="auto" w:frame="1"/>
          <w:lang w:eastAsia="uk-UA"/>
        </w:rPr>
        <w:t>За рахунок Фонду ліквідації наслідків збройної агресії, тривають роботи з відновлення житлового будинку по вул. Благовіщенська, 53, вартість 37,6 млн гривень та відновлення житлового будинку по вул. Нескучанська, 9 вартість 22,9 млн. гривень.</w:t>
      </w:r>
    </w:p>
    <w:p w:rsidR="00427B6D" w:rsidRPr="00754EA5" w:rsidRDefault="00427B6D" w:rsidP="00820D8C">
      <w:pPr>
        <w:ind w:firstLine="567"/>
        <w:jc w:val="both"/>
        <w:rPr>
          <w:color w:val="000000"/>
          <w:sz w:val="26"/>
          <w:szCs w:val="26"/>
          <w:bdr w:val="none" w:sz="0" w:space="0" w:color="auto" w:frame="1"/>
          <w:lang w:eastAsia="uk-UA"/>
        </w:rPr>
      </w:pPr>
      <w:r w:rsidRPr="00754EA5">
        <w:rPr>
          <w:color w:val="000000"/>
          <w:sz w:val="26"/>
          <w:szCs w:val="26"/>
          <w:bdr w:val="none" w:sz="0" w:space="0" w:color="auto" w:frame="1"/>
          <w:lang w:eastAsia="uk-UA"/>
        </w:rPr>
        <w:lastRenderedPageBreak/>
        <w:t xml:space="preserve">У 2025 році за фінансової підтримки </w:t>
      </w:r>
      <w:r w:rsidRPr="00754EA5">
        <w:rPr>
          <w:color w:val="000000"/>
          <w:sz w:val="26"/>
          <w:szCs w:val="26"/>
          <w:bdr w:val="none" w:sz="0" w:space="0" w:color="auto" w:frame="1"/>
          <w:lang w:val="en-US" w:eastAsia="uk-UA"/>
        </w:rPr>
        <w:t>Greenpeace</w:t>
      </w:r>
      <w:r w:rsidRPr="00754EA5">
        <w:rPr>
          <w:color w:val="000000"/>
          <w:sz w:val="26"/>
          <w:szCs w:val="26"/>
          <w:bdr w:val="none" w:sz="0" w:space="0" w:color="auto" w:frame="1"/>
          <w:lang w:eastAsia="uk-UA"/>
        </w:rPr>
        <w:t xml:space="preserve"> буде побудовано першу в Україні систему опалення на багатоквартирному будинку, робота якою буде забезпечуватись тепловими насосами, вартість робіт 218 тис. євро.</w:t>
      </w:r>
    </w:p>
    <w:p w:rsidR="00427B6D" w:rsidRPr="00754EA5" w:rsidRDefault="00427B6D" w:rsidP="00820D8C">
      <w:pPr>
        <w:ind w:firstLine="567"/>
        <w:jc w:val="both"/>
        <w:rPr>
          <w:color w:val="000000"/>
          <w:sz w:val="26"/>
          <w:szCs w:val="26"/>
          <w:highlight w:val="yellow"/>
          <w:bdr w:val="none" w:sz="0" w:space="0" w:color="auto" w:frame="1"/>
          <w:lang w:eastAsia="uk-UA"/>
        </w:rPr>
      </w:pPr>
    </w:p>
    <w:p w:rsidR="00820D8C" w:rsidRDefault="00427B6D" w:rsidP="00820D8C">
      <w:pPr>
        <w:tabs>
          <w:tab w:val="left" w:pos="993"/>
        </w:tabs>
        <w:ind w:firstLine="567"/>
        <w:jc w:val="both"/>
        <w:rPr>
          <w:sz w:val="26"/>
          <w:szCs w:val="26"/>
          <w:bdr w:val="none" w:sz="0" w:space="0" w:color="auto" w:frame="1"/>
          <w:lang w:eastAsia="uk-UA"/>
        </w:rPr>
      </w:pPr>
      <w:r w:rsidRPr="00754EA5">
        <w:rPr>
          <w:sz w:val="26"/>
          <w:szCs w:val="26"/>
          <w:bdr w:val="none" w:sz="0" w:space="0" w:color="auto" w:frame="1"/>
          <w:lang w:eastAsia="uk-UA"/>
        </w:rPr>
        <w:t xml:space="preserve">Автомобільний пасажирський транспорт – важлива складова частина виробничої інфраструктури м. Тростянець та громади в цілому, яка забезпечує життєдіяльність всієї території у виробничій і невиробничій сферах. </w:t>
      </w:r>
    </w:p>
    <w:p w:rsidR="00427B6D" w:rsidRPr="00754EA5" w:rsidRDefault="00427B6D" w:rsidP="00820D8C">
      <w:pPr>
        <w:tabs>
          <w:tab w:val="left" w:pos="993"/>
        </w:tabs>
        <w:ind w:firstLine="567"/>
        <w:jc w:val="both"/>
        <w:rPr>
          <w:sz w:val="26"/>
          <w:szCs w:val="26"/>
          <w:bdr w:val="none" w:sz="0" w:space="0" w:color="auto" w:frame="1"/>
          <w:lang w:val="ru-RU" w:eastAsia="uk-UA"/>
        </w:rPr>
      </w:pPr>
      <w:r w:rsidRPr="00754EA5">
        <w:rPr>
          <w:sz w:val="26"/>
          <w:szCs w:val="26"/>
          <w:bdr w:val="none" w:sz="0" w:space="0" w:color="auto" w:frame="1"/>
          <w:lang w:eastAsia="uk-UA"/>
        </w:rPr>
        <w:t xml:space="preserve">Ефективне функціонування автомобільного транспорту є необхідною умовою розвитку економіки, покращення умов рівня життя та соціального добробуту громади. Перевезення пасажирів здійснюється 11-ма автобусами. Автобуси здійснюють перевезення по 13-ти маршрутам, які охоплюють місто </w:t>
      </w:r>
      <w:r w:rsidRPr="00754EA5">
        <w:rPr>
          <w:sz w:val="26"/>
          <w:szCs w:val="26"/>
          <w:bdr w:val="none" w:sz="0" w:space="0" w:color="auto" w:frame="1"/>
          <w:lang w:val="ru-RU" w:eastAsia="uk-UA"/>
        </w:rPr>
        <w:t xml:space="preserve">та </w:t>
      </w:r>
      <w:r w:rsidRPr="00754EA5">
        <w:rPr>
          <w:sz w:val="26"/>
          <w:szCs w:val="26"/>
          <w:bdr w:val="none" w:sz="0" w:space="0" w:color="auto" w:frame="1"/>
          <w:lang w:eastAsia="uk-UA"/>
        </w:rPr>
        <w:t>17 сільських населених пунктів. До 23 жовтня діяли безкоштовні перевезення пасажирів по місту та пільгове по селам. Видатки з міського бюджету на перевезення пасажирів за 9 місяців склали 5,8 млн гривень.</w:t>
      </w:r>
    </w:p>
    <w:p w:rsidR="00427B6D" w:rsidRPr="00754EA5" w:rsidRDefault="00427B6D" w:rsidP="00820D8C">
      <w:pPr>
        <w:ind w:left="142" w:firstLine="567"/>
        <w:jc w:val="both"/>
        <w:rPr>
          <w:sz w:val="26"/>
          <w:szCs w:val="26"/>
          <w:lang w:val="ru-RU"/>
        </w:rPr>
      </w:pPr>
    </w:p>
    <w:p w:rsidR="00427B6D" w:rsidRPr="00820D8C" w:rsidRDefault="00427B6D" w:rsidP="00820D8C">
      <w:pPr>
        <w:ind w:firstLine="567"/>
        <w:jc w:val="both"/>
        <w:rPr>
          <w:sz w:val="26"/>
          <w:szCs w:val="26"/>
        </w:rPr>
      </w:pPr>
      <w:r w:rsidRPr="00820D8C">
        <w:rPr>
          <w:sz w:val="26"/>
          <w:szCs w:val="26"/>
        </w:rPr>
        <w:t>Проведено поточний дрібний (ямковий) ремонт доріг комунальної власності Тростянецької громади на загальну суму 3,0 млн. гривень. Виконано роботи для покращення автомобільного сполучення між с. Олексине та м. Тростянець, а саме проведено грейдування грунтової дороги (670м.), облаштування корита та підсипкою ЩПС. Проводилися роботи з грейдування доріг на суму 708,2 тис. гривень (95 вулиць, 43 км). Проводилися роботи з утримання шляхової мережі – встановлення дорожніх знаків на суму 93,5 тис. гривень.</w:t>
      </w:r>
    </w:p>
    <w:p w:rsidR="00427B6D" w:rsidRPr="00820D8C" w:rsidRDefault="00427B6D" w:rsidP="00820D8C">
      <w:pPr>
        <w:tabs>
          <w:tab w:val="left" w:pos="993"/>
        </w:tabs>
        <w:ind w:firstLine="567"/>
        <w:jc w:val="both"/>
        <w:rPr>
          <w:sz w:val="26"/>
          <w:szCs w:val="26"/>
        </w:rPr>
      </w:pPr>
      <w:r w:rsidRPr="00820D8C">
        <w:rPr>
          <w:sz w:val="26"/>
          <w:szCs w:val="26"/>
        </w:rPr>
        <w:t xml:space="preserve">Проводилися роботи з посипання доріг протиожеледними матеріалами, посипались підйоми по вулицях </w:t>
      </w:r>
      <w:r w:rsidR="00820D8C">
        <w:rPr>
          <w:sz w:val="26"/>
          <w:szCs w:val="26"/>
        </w:rPr>
        <w:t xml:space="preserve">на </w:t>
      </w:r>
      <w:r w:rsidRPr="00820D8C">
        <w:rPr>
          <w:sz w:val="26"/>
          <w:szCs w:val="26"/>
        </w:rPr>
        <w:t>121,4 тис. гривень.</w:t>
      </w:r>
    </w:p>
    <w:p w:rsidR="00427B6D" w:rsidRPr="00820D8C" w:rsidRDefault="00427B6D" w:rsidP="00820D8C">
      <w:pPr>
        <w:tabs>
          <w:tab w:val="left" w:pos="993"/>
        </w:tabs>
        <w:ind w:firstLine="567"/>
        <w:jc w:val="both"/>
        <w:rPr>
          <w:sz w:val="26"/>
          <w:szCs w:val="26"/>
        </w:rPr>
      </w:pPr>
      <w:r w:rsidRPr="00820D8C">
        <w:rPr>
          <w:sz w:val="26"/>
          <w:szCs w:val="26"/>
        </w:rPr>
        <w:t>Проведено очищення від снігу доріг на суму – 184,3 тис. гривень.</w:t>
      </w:r>
    </w:p>
    <w:p w:rsidR="00427B6D" w:rsidRPr="00820D8C" w:rsidRDefault="00427B6D" w:rsidP="00820D8C">
      <w:pPr>
        <w:tabs>
          <w:tab w:val="left" w:pos="993"/>
        </w:tabs>
        <w:ind w:firstLine="567"/>
        <w:jc w:val="both"/>
        <w:rPr>
          <w:sz w:val="26"/>
          <w:szCs w:val="26"/>
        </w:rPr>
      </w:pPr>
      <w:r w:rsidRPr="00820D8C">
        <w:rPr>
          <w:sz w:val="26"/>
          <w:szCs w:val="26"/>
        </w:rPr>
        <w:t>Витрачено пі</w:t>
      </w:r>
      <w:r w:rsidR="002C7D75">
        <w:rPr>
          <w:sz w:val="26"/>
          <w:szCs w:val="26"/>
        </w:rPr>
        <w:t>щ</w:t>
      </w:r>
      <w:r w:rsidRPr="00820D8C">
        <w:rPr>
          <w:sz w:val="26"/>
          <w:szCs w:val="26"/>
        </w:rPr>
        <w:t>ано-сольової суміші за зимовий сезон 2025 року в кількості 153 тони</w:t>
      </w:r>
      <w:r w:rsidR="00820D8C">
        <w:rPr>
          <w:sz w:val="26"/>
          <w:szCs w:val="26"/>
        </w:rPr>
        <w:t>.</w:t>
      </w:r>
    </w:p>
    <w:p w:rsidR="00427B6D" w:rsidRPr="00820D8C" w:rsidRDefault="00427B6D" w:rsidP="00820D8C">
      <w:pPr>
        <w:ind w:firstLine="567"/>
        <w:jc w:val="both"/>
        <w:rPr>
          <w:sz w:val="26"/>
          <w:szCs w:val="26"/>
        </w:rPr>
      </w:pPr>
      <w:r w:rsidRPr="00820D8C">
        <w:rPr>
          <w:sz w:val="26"/>
          <w:szCs w:val="26"/>
        </w:rPr>
        <w:t>Допомога внутрішньо переміщеним особам є одним з пріоритетів Тростянецької громади. Станом на 01.10.2025 в громаді зареєстровано 2214 внутрішньо переміщених осіб.</w:t>
      </w:r>
    </w:p>
    <w:p w:rsidR="00427B6D" w:rsidRPr="00754EA5" w:rsidRDefault="00427B6D" w:rsidP="00820D8C">
      <w:pPr>
        <w:ind w:firstLine="567"/>
        <w:jc w:val="both"/>
        <w:rPr>
          <w:sz w:val="26"/>
          <w:szCs w:val="26"/>
        </w:rPr>
      </w:pPr>
      <w:r w:rsidRPr="00820D8C">
        <w:rPr>
          <w:sz w:val="26"/>
          <w:szCs w:val="26"/>
        </w:rPr>
        <w:t>Будівлю Центру для внутрішньо переміщених осіб облаштовано сонячною станцією та придбано 8 акумуляторних батарей на суму 339,6 тис. гривень. Забезпечено централізованим електропостачанням</w:t>
      </w:r>
      <w:r w:rsidRPr="00754EA5">
        <w:rPr>
          <w:sz w:val="26"/>
          <w:szCs w:val="26"/>
        </w:rPr>
        <w:t>, потужність 500 кВт.</w:t>
      </w:r>
    </w:p>
    <w:p w:rsidR="00427B6D" w:rsidRPr="00754EA5" w:rsidRDefault="00427B6D" w:rsidP="00820D8C">
      <w:pPr>
        <w:ind w:firstLine="567"/>
        <w:jc w:val="both"/>
        <w:rPr>
          <w:sz w:val="26"/>
          <w:szCs w:val="26"/>
        </w:rPr>
      </w:pPr>
      <w:r w:rsidRPr="00754EA5">
        <w:rPr>
          <w:sz w:val="26"/>
          <w:szCs w:val="26"/>
        </w:rPr>
        <w:t>Працевлаштовано 47 внутрішньо переміщених осіб.</w:t>
      </w:r>
    </w:p>
    <w:p w:rsidR="00427B6D" w:rsidRPr="00820D8C" w:rsidRDefault="00427B6D" w:rsidP="00820D8C">
      <w:pPr>
        <w:ind w:firstLine="567"/>
        <w:jc w:val="both"/>
        <w:rPr>
          <w:sz w:val="26"/>
          <w:szCs w:val="26"/>
        </w:rPr>
      </w:pPr>
      <w:r w:rsidRPr="00754EA5">
        <w:rPr>
          <w:sz w:val="26"/>
          <w:szCs w:val="26"/>
        </w:rPr>
        <w:t xml:space="preserve">5760 продуктових наборів  від GEM UKRAINE отримали ВПО, сім’ї загиблих військових та цивільних, сім’ї полонених та зниклих безвісти, люди  з інвалідністю, </w:t>
      </w:r>
      <w:r w:rsidRPr="00820D8C">
        <w:rPr>
          <w:sz w:val="26"/>
          <w:szCs w:val="26"/>
        </w:rPr>
        <w:t>пенсіонери, жителі сільської місцевості  та ін.</w:t>
      </w:r>
    </w:p>
    <w:p w:rsidR="00427B6D" w:rsidRPr="00820D8C" w:rsidRDefault="00427B6D" w:rsidP="00820D8C">
      <w:pPr>
        <w:ind w:firstLine="567"/>
        <w:jc w:val="both"/>
        <w:rPr>
          <w:sz w:val="26"/>
          <w:szCs w:val="26"/>
        </w:rPr>
      </w:pPr>
      <w:r w:rsidRPr="00820D8C">
        <w:rPr>
          <w:sz w:val="26"/>
          <w:szCs w:val="26"/>
        </w:rPr>
        <w:t>На виконання «Програми соціального захисту населення» за 9 місяців сплачено з бюджету на суму 2,3 млн гривень, з них:</w:t>
      </w:r>
    </w:p>
    <w:p w:rsidR="00427B6D" w:rsidRPr="00820D8C" w:rsidRDefault="00820D8C" w:rsidP="00820D8C">
      <w:pPr>
        <w:pStyle w:val="a7"/>
        <w:numPr>
          <w:ilvl w:val="0"/>
          <w:numId w:val="14"/>
        </w:numPr>
        <w:ind w:left="0" w:firstLine="567"/>
        <w:jc w:val="both"/>
        <w:rPr>
          <w:sz w:val="26"/>
          <w:szCs w:val="26"/>
        </w:rPr>
      </w:pPr>
      <w:r w:rsidRPr="00820D8C">
        <w:rPr>
          <w:sz w:val="26"/>
          <w:szCs w:val="26"/>
        </w:rPr>
        <w:t>п</w:t>
      </w:r>
      <w:r w:rsidR="00427B6D" w:rsidRPr="00820D8C">
        <w:rPr>
          <w:sz w:val="26"/>
          <w:szCs w:val="26"/>
        </w:rPr>
        <w:t>ільговий проїзд автомобільним транспортом – 569,8 тис. гривень;</w:t>
      </w:r>
    </w:p>
    <w:p w:rsidR="00427B6D" w:rsidRPr="00820D8C" w:rsidRDefault="00820D8C" w:rsidP="00820D8C">
      <w:pPr>
        <w:pStyle w:val="a7"/>
        <w:numPr>
          <w:ilvl w:val="0"/>
          <w:numId w:val="14"/>
        </w:numPr>
        <w:ind w:left="0" w:firstLine="567"/>
        <w:jc w:val="both"/>
        <w:rPr>
          <w:sz w:val="26"/>
          <w:szCs w:val="26"/>
        </w:rPr>
      </w:pPr>
      <w:r w:rsidRPr="00820D8C">
        <w:rPr>
          <w:sz w:val="26"/>
          <w:szCs w:val="26"/>
        </w:rPr>
        <w:t>к</w:t>
      </w:r>
      <w:r w:rsidR="00427B6D" w:rsidRPr="00820D8C">
        <w:rPr>
          <w:sz w:val="26"/>
          <w:szCs w:val="26"/>
        </w:rPr>
        <w:t>омпенсація фізичним особам, які надають послуги з догляду вдома – 1055,7 тис. гривень;</w:t>
      </w:r>
    </w:p>
    <w:p w:rsidR="00427B6D" w:rsidRPr="00820D8C" w:rsidRDefault="00820D8C" w:rsidP="00820D8C">
      <w:pPr>
        <w:pStyle w:val="a7"/>
        <w:numPr>
          <w:ilvl w:val="0"/>
          <w:numId w:val="14"/>
        </w:numPr>
        <w:ind w:left="0" w:firstLine="567"/>
        <w:jc w:val="both"/>
        <w:rPr>
          <w:sz w:val="26"/>
          <w:szCs w:val="26"/>
        </w:rPr>
      </w:pPr>
      <w:r w:rsidRPr="00820D8C">
        <w:rPr>
          <w:sz w:val="26"/>
          <w:szCs w:val="26"/>
        </w:rPr>
        <w:t>м</w:t>
      </w:r>
      <w:r w:rsidR="00427B6D" w:rsidRPr="00820D8C">
        <w:rPr>
          <w:sz w:val="26"/>
          <w:szCs w:val="26"/>
        </w:rPr>
        <w:t>атеріальна допомога на лікування та реалізацію осіб, які безпосередньо беруть участь у бойових діях – 62,0 тис. гривень;</w:t>
      </w:r>
    </w:p>
    <w:p w:rsidR="00427B6D" w:rsidRPr="00820D8C" w:rsidRDefault="00820D8C" w:rsidP="00820D8C">
      <w:pPr>
        <w:pStyle w:val="a7"/>
        <w:numPr>
          <w:ilvl w:val="0"/>
          <w:numId w:val="14"/>
        </w:numPr>
        <w:ind w:left="0" w:firstLine="567"/>
        <w:jc w:val="both"/>
        <w:rPr>
          <w:sz w:val="26"/>
          <w:szCs w:val="26"/>
        </w:rPr>
      </w:pPr>
      <w:r w:rsidRPr="00820D8C">
        <w:rPr>
          <w:sz w:val="26"/>
          <w:szCs w:val="26"/>
        </w:rPr>
        <w:t>м</w:t>
      </w:r>
      <w:r w:rsidR="00427B6D" w:rsidRPr="00820D8C">
        <w:rPr>
          <w:sz w:val="26"/>
          <w:szCs w:val="26"/>
        </w:rPr>
        <w:t>атеріальна допомога жителям громади, які опинилися в складних життєвих обставинах, тяжкохворим – 113,0 тис. гривень;</w:t>
      </w:r>
    </w:p>
    <w:p w:rsidR="00427B6D" w:rsidRPr="00820D8C" w:rsidRDefault="00820D8C" w:rsidP="00820D8C">
      <w:pPr>
        <w:pStyle w:val="a7"/>
        <w:numPr>
          <w:ilvl w:val="0"/>
          <w:numId w:val="14"/>
        </w:numPr>
        <w:ind w:left="0" w:firstLine="567"/>
        <w:jc w:val="both"/>
        <w:rPr>
          <w:sz w:val="26"/>
          <w:szCs w:val="26"/>
        </w:rPr>
      </w:pPr>
      <w:r w:rsidRPr="00820D8C">
        <w:rPr>
          <w:sz w:val="26"/>
          <w:szCs w:val="26"/>
        </w:rPr>
        <w:t>і</w:t>
      </w:r>
      <w:r w:rsidR="00427B6D" w:rsidRPr="00820D8C">
        <w:rPr>
          <w:sz w:val="26"/>
          <w:szCs w:val="26"/>
        </w:rPr>
        <w:t>нше – 190,6 тис. гривень.</w:t>
      </w:r>
    </w:p>
    <w:p w:rsidR="00820D8C" w:rsidRDefault="00820D8C" w:rsidP="00754EA5">
      <w:pPr>
        <w:ind w:firstLine="709"/>
        <w:jc w:val="center"/>
        <w:rPr>
          <w:b/>
          <w:szCs w:val="28"/>
        </w:rPr>
      </w:pPr>
    </w:p>
    <w:p w:rsidR="00427B6D" w:rsidRPr="00D71B85" w:rsidRDefault="00427B6D" w:rsidP="00820D8C">
      <w:pPr>
        <w:jc w:val="center"/>
        <w:rPr>
          <w:b/>
          <w:szCs w:val="28"/>
        </w:rPr>
      </w:pPr>
      <w:r w:rsidRPr="00D71B85">
        <w:rPr>
          <w:b/>
          <w:szCs w:val="28"/>
        </w:rPr>
        <w:lastRenderedPageBreak/>
        <w:t>ІІ. ДОХОДИ</w:t>
      </w:r>
    </w:p>
    <w:p w:rsidR="00427B6D" w:rsidRPr="00754EA5" w:rsidRDefault="00427B6D" w:rsidP="00820D8C">
      <w:pPr>
        <w:spacing w:before="360" w:after="60" w:line="252" w:lineRule="auto"/>
        <w:ind w:firstLine="567"/>
        <w:jc w:val="both"/>
        <w:rPr>
          <w:sz w:val="26"/>
          <w:szCs w:val="26"/>
        </w:rPr>
      </w:pPr>
      <w:r w:rsidRPr="00754EA5">
        <w:rPr>
          <w:sz w:val="26"/>
          <w:szCs w:val="26"/>
        </w:rPr>
        <w:t>Показники дохідної частини бюджету Тростянецької МТГ на 2026</w:t>
      </w:r>
      <w:r w:rsidRPr="00754EA5">
        <w:rPr>
          <w:b/>
          <w:bCs/>
          <w:sz w:val="26"/>
          <w:szCs w:val="26"/>
        </w:rPr>
        <w:t xml:space="preserve"> </w:t>
      </w:r>
      <w:r w:rsidRPr="00754EA5">
        <w:rPr>
          <w:sz w:val="26"/>
          <w:szCs w:val="26"/>
        </w:rPr>
        <w:t>рік обраховані з урахуванням Закону України «Про Державний бюджет України на 2026 рік»</w:t>
      </w:r>
      <w:r w:rsidRPr="00754EA5">
        <w:rPr>
          <w:i/>
          <w:sz w:val="26"/>
          <w:szCs w:val="26"/>
          <w:shd w:val="clear" w:color="auto" w:fill="FFFFFF"/>
        </w:rPr>
        <w:t xml:space="preserve">, </w:t>
      </w:r>
      <w:r w:rsidRPr="00754EA5">
        <w:rPr>
          <w:sz w:val="26"/>
          <w:szCs w:val="26"/>
        </w:rPr>
        <w:t>основних прогнозних макропоказників економічного і соціального розвитку України, які враховують дії правового режиму воєнного стану, та із застосуванням чинних норм бюджетного та податкового законодавства.</w:t>
      </w:r>
    </w:p>
    <w:p w:rsidR="00427B6D" w:rsidRPr="00754EA5" w:rsidRDefault="00427B6D" w:rsidP="00820D8C">
      <w:pPr>
        <w:tabs>
          <w:tab w:val="left" w:pos="567"/>
          <w:tab w:val="left" w:pos="709"/>
        </w:tabs>
        <w:spacing w:before="120" w:after="60" w:line="252" w:lineRule="auto"/>
        <w:ind w:firstLine="567"/>
        <w:jc w:val="both"/>
        <w:rPr>
          <w:sz w:val="26"/>
          <w:szCs w:val="26"/>
        </w:rPr>
      </w:pPr>
      <w:r w:rsidRPr="00754EA5">
        <w:rPr>
          <w:sz w:val="26"/>
          <w:szCs w:val="26"/>
        </w:rPr>
        <w:t>При прогнозуванні дохідної частини місцевих бюджетів на 2026 рік було враховано:</w:t>
      </w:r>
    </w:p>
    <w:p w:rsidR="00427B6D" w:rsidRPr="00754EA5" w:rsidRDefault="00427B6D" w:rsidP="00820D8C">
      <w:pPr>
        <w:pStyle w:val="a5"/>
        <w:numPr>
          <w:ilvl w:val="0"/>
          <w:numId w:val="4"/>
        </w:numPr>
        <w:tabs>
          <w:tab w:val="left" w:pos="426"/>
          <w:tab w:val="left" w:pos="709"/>
        </w:tabs>
        <w:suppressAutoHyphens/>
        <w:ind w:left="0" w:firstLine="567"/>
        <w:jc w:val="both"/>
        <w:rPr>
          <w:rFonts w:ascii="Times New Roman" w:eastAsia="Calibri" w:hAnsi="Times New Roman" w:cs="Times New Roman"/>
          <w:sz w:val="26"/>
          <w:szCs w:val="26"/>
          <w:lang w:eastAsia="en-US"/>
        </w:rPr>
      </w:pPr>
      <w:r w:rsidRPr="00754EA5">
        <w:rPr>
          <w:rFonts w:ascii="Times New Roman" w:eastAsia="Calibri" w:hAnsi="Times New Roman" w:cs="Times New Roman"/>
          <w:iCs/>
          <w:sz w:val="26"/>
          <w:szCs w:val="26"/>
          <w:lang w:eastAsia="en-US"/>
        </w:rPr>
        <w:t xml:space="preserve">основні прогнозні макроекономічні показники Міністерства економіки України </w:t>
      </w:r>
      <w:r w:rsidRPr="00754EA5">
        <w:rPr>
          <w:rFonts w:ascii="Times New Roman" w:eastAsia="Calibri" w:hAnsi="Times New Roman" w:cs="Times New Roman"/>
          <w:i/>
          <w:iCs/>
          <w:sz w:val="26"/>
          <w:szCs w:val="26"/>
          <w:lang w:eastAsia="en-US"/>
        </w:rPr>
        <w:t>(очікувані за 2025 рік та прогнозні на 2026 рік)</w:t>
      </w:r>
      <w:r w:rsidRPr="00754EA5">
        <w:rPr>
          <w:rFonts w:ascii="Times New Roman" w:eastAsia="Calibri" w:hAnsi="Times New Roman" w:cs="Times New Roman"/>
          <w:iCs/>
          <w:sz w:val="26"/>
          <w:szCs w:val="26"/>
          <w:lang w:eastAsia="en-US"/>
        </w:rPr>
        <w:t xml:space="preserve"> за помірно – консервативним сценарієм;</w:t>
      </w:r>
    </w:p>
    <w:p w:rsidR="00427B6D" w:rsidRPr="00754EA5" w:rsidRDefault="00427B6D" w:rsidP="00427B6D">
      <w:pPr>
        <w:pStyle w:val="a7"/>
        <w:keepNext/>
        <w:spacing w:after="100"/>
        <w:ind w:left="1429"/>
        <w:jc w:val="center"/>
        <w:rPr>
          <w:b/>
          <w:sz w:val="26"/>
          <w:szCs w:val="26"/>
        </w:rPr>
      </w:pPr>
    </w:p>
    <w:p w:rsidR="00427B6D" w:rsidRPr="00754EA5" w:rsidRDefault="00427B6D" w:rsidP="002C7D75">
      <w:pPr>
        <w:pStyle w:val="a7"/>
        <w:keepNext/>
        <w:spacing w:after="100"/>
        <w:ind w:left="0"/>
        <w:jc w:val="center"/>
        <w:rPr>
          <w:b/>
          <w:sz w:val="26"/>
          <w:szCs w:val="26"/>
        </w:rPr>
      </w:pPr>
      <w:r w:rsidRPr="00754EA5">
        <w:rPr>
          <w:b/>
          <w:sz w:val="26"/>
          <w:szCs w:val="26"/>
        </w:rPr>
        <w:t>Основні прогнозні макропоказники економічного і соціального розвитку України на 2025–2026 роки</w:t>
      </w:r>
    </w:p>
    <w:tbl>
      <w:tblPr>
        <w:tblW w:w="9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46"/>
        <w:gridCol w:w="937"/>
        <w:gridCol w:w="1408"/>
        <w:gridCol w:w="1733"/>
        <w:gridCol w:w="13"/>
        <w:gridCol w:w="1263"/>
        <w:gridCol w:w="13"/>
      </w:tblGrid>
      <w:tr w:rsidR="00427B6D" w:rsidTr="00820D8C">
        <w:trPr>
          <w:tblHeader/>
          <w:jc w:val="center"/>
        </w:trPr>
        <w:tc>
          <w:tcPr>
            <w:tcW w:w="3746" w:type="dxa"/>
            <w:vMerge w:val="restart"/>
            <w:shd w:val="clear" w:color="auto" w:fill="auto"/>
            <w:vAlign w:val="center"/>
          </w:tcPr>
          <w:p w:rsidR="00427B6D" w:rsidRPr="00820D8C" w:rsidRDefault="00427B6D" w:rsidP="00606BCD">
            <w:pPr>
              <w:jc w:val="center"/>
              <w:rPr>
                <w:b/>
                <w:bCs/>
                <w:sz w:val="20"/>
                <w:szCs w:val="20"/>
                <w:lang w:eastAsia="uk-UA"/>
              </w:rPr>
            </w:pPr>
            <w:r w:rsidRPr="00820D8C">
              <w:rPr>
                <w:b/>
                <w:bCs/>
                <w:sz w:val="20"/>
                <w:szCs w:val="20"/>
                <w:lang w:eastAsia="uk-UA"/>
              </w:rPr>
              <w:t>Назва</w:t>
            </w:r>
          </w:p>
        </w:tc>
        <w:tc>
          <w:tcPr>
            <w:tcW w:w="937" w:type="dxa"/>
            <w:shd w:val="clear" w:color="auto" w:fill="auto"/>
            <w:vAlign w:val="center"/>
          </w:tcPr>
          <w:p w:rsidR="00427B6D" w:rsidRPr="00820D8C" w:rsidRDefault="00427B6D" w:rsidP="00606BCD">
            <w:pPr>
              <w:jc w:val="center"/>
              <w:rPr>
                <w:b/>
                <w:bCs/>
                <w:sz w:val="20"/>
                <w:szCs w:val="20"/>
                <w:lang w:val="en-US" w:eastAsia="uk-UA"/>
              </w:rPr>
            </w:pPr>
            <w:r w:rsidRPr="00820D8C">
              <w:rPr>
                <w:b/>
                <w:bCs/>
                <w:sz w:val="20"/>
                <w:szCs w:val="20"/>
                <w:lang w:eastAsia="uk-UA"/>
              </w:rPr>
              <w:t>202</w:t>
            </w:r>
            <w:r w:rsidRPr="00820D8C">
              <w:rPr>
                <w:b/>
                <w:bCs/>
                <w:sz w:val="20"/>
                <w:szCs w:val="20"/>
                <w:lang w:val="en-US" w:eastAsia="uk-UA"/>
              </w:rPr>
              <w:t>4</w:t>
            </w:r>
          </w:p>
        </w:tc>
        <w:tc>
          <w:tcPr>
            <w:tcW w:w="3154" w:type="dxa"/>
            <w:gridSpan w:val="3"/>
            <w:shd w:val="clear" w:color="auto" w:fill="auto"/>
            <w:vAlign w:val="center"/>
          </w:tcPr>
          <w:p w:rsidR="00427B6D" w:rsidRPr="00820D8C" w:rsidRDefault="00427B6D" w:rsidP="00606BCD">
            <w:pPr>
              <w:jc w:val="center"/>
              <w:rPr>
                <w:b/>
                <w:bCs/>
                <w:sz w:val="20"/>
                <w:szCs w:val="20"/>
                <w:lang w:val="en-US" w:eastAsia="uk-UA"/>
              </w:rPr>
            </w:pPr>
            <w:r w:rsidRPr="00820D8C">
              <w:rPr>
                <w:b/>
                <w:bCs/>
                <w:sz w:val="20"/>
                <w:szCs w:val="20"/>
                <w:lang w:eastAsia="uk-UA"/>
              </w:rPr>
              <w:t>202</w:t>
            </w:r>
            <w:r w:rsidRPr="00820D8C">
              <w:rPr>
                <w:b/>
                <w:bCs/>
                <w:sz w:val="20"/>
                <w:szCs w:val="20"/>
                <w:lang w:val="en-US" w:eastAsia="uk-UA"/>
              </w:rPr>
              <w:t>5</w:t>
            </w:r>
          </w:p>
        </w:tc>
        <w:tc>
          <w:tcPr>
            <w:tcW w:w="1276" w:type="dxa"/>
            <w:gridSpan w:val="2"/>
            <w:shd w:val="clear" w:color="auto" w:fill="auto"/>
            <w:vAlign w:val="center"/>
          </w:tcPr>
          <w:p w:rsidR="00427B6D" w:rsidRPr="00820D8C" w:rsidRDefault="00427B6D" w:rsidP="00606BCD">
            <w:pPr>
              <w:jc w:val="center"/>
              <w:rPr>
                <w:b/>
                <w:bCs/>
                <w:sz w:val="20"/>
                <w:szCs w:val="20"/>
                <w:lang w:val="en-US" w:eastAsia="uk-UA"/>
              </w:rPr>
            </w:pPr>
            <w:r w:rsidRPr="00820D8C">
              <w:rPr>
                <w:b/>
                <w:bCs/>
                <w:sz w:val="20"/>
                <w:szCs w:val="20"/>
                <w:lang w:eastAsia="uk-UA"/>
              </w:rPr>
              <w:t>202</w:t>
            </w:r>
            <w:r w:rsidRPr="00820D8C">
              <w:rPr>
                <w:b/>
                <w:bCs/>
                <w:sz w:val="20"/>
                <w:szCs w:val="20"/>
                <w:lang w:val="en-US" w:eastAsia="uk-UA"/>
              </w:rPr>
              <w:t>6</w:t>
            </w:r>
          </w:p>
        </w:tc>
      </w:tr>
      <w:tr w:rsidR="00427B6D" w:rsidTr="00820D8C">
        <w:trPr>
          <w:gridAfter w:val="1"/>
          <w:wAfter w:w="13" w:type="dxa"/>
          <w:tblHeader/>
          <w:jc w:val="center"/>
        </w:trPr>
        <w:tc>
          <w:tcPr>
            <w:tcW w:w="3746" w:type="dxa"/>
            <w:vMerge/>
            <w:vAlign w:val="center"/>
          </w:tcPr>
          <w:p w:rsidR="00427B6D" w:rsidRPr="00820D8C" w:rsidRDefault="00427B6D" w:rsidP="00606BCD">
            <w:pPr>
              <w:jc w:val="center"/>
              <w:rPr>
                <w:b/>
                <w:bCs/>
                <w:sz w:val="20"/>
                <w:szCs w:val="20"/>
                <w:lang w:eastAsia="uk-UA"/>
              </w:rPr>
            </w:pPr>
          </w:p>
        </w:tc>
        <w:tc>
          <w:tcPr>
            <w:tcW w:w="937" w:type="dxa"/>
            <w:shd w:val="clear" w:color="auto" w:fill="auto"/>
            <w:vAlign w:val="center"/>
          </w:tcPr>
          <w:p w:rsidR="00427B6D" w:rsidRPr="00820D8C" w:rsidRDefault="00427B6D" w:rsidP="00606BCD">
            <w:pPr>
              <w:jc w:val="center"/>
              <w:rPr>
                <w:b/>
                <w:bCs/>
                <w:sz w:val="20"/>
                <w:szCs w:val="20"/>
                <w:lang w:eastAsia="uk-UA"/>
              </w:rPr>
            </w:pPr>
            <w:r w:rsidRPr="00820D8C">
              <w:rPr>
                <w:b/>
                <w:bCs/>
                <w:sz w:val="20"/>
                <w:szCs w:val="20"/>
                <w:lang w:eastAsia="uk-UA"/>
              </w:rPr>
              <w:t>Звіт</w:t>
            </w:r>
          </w:p>
        </w:tc>
        <w:tc>
          <w:tcPr>
            <w:tcW w:w="1408" w:type="dxa"/>
            <w:shd w:val="clear" w:color="auto" w:fill="auto"/>
            <w:vAlign w:val="center"/>
          </w:tcPr>
          <w:p w:rsidR="00427B6D" w:rsidRPr="00820D8C" w:rsidRDefault="00427B6D" w:rsidP="00606BCD">
            <w:pPr>
              <w:jc w:val="center"/>
              <w:rPr>
                <w:b/>
                <w:bCs/>
                <w:sz w:val="20"/>
                <w:szCs w:val="20"/>
                <w:lang w:eastAsia="ja-JP"/>
              </w:rPr>
            </w:pPr>
            <w:r w:rsidRPr="00820D8C">
              <w:rPr>
                <w:b/>
                <w:bCs/>
                <w:sz w:val="20"/>
                <w:szCs w:val="20"/>
                <w:lang w:eastAsia="ja-JP"/>
              </w:rPr>
              <w:t xml:space="preserve">Постанова </w:t>
            </w:r>
          </w:p>
          <w:p w:rsidR="00427B6D" w:rsidRPr="00820D8C" w:rsidRDefault="00427B6D" w:rsidP="00606BCD">
            <w:pPr>
              <w:jc w:val="center"/>
              <w:rPr>
                <w:b/>
                <w:bCs/>
                <w:sz w:val="20"/>
                <w:szCs w:val="20"/>
                <w:lang w:eastAsia="ja-JP"/>
              </w:rPr>
            </w:pPr>
            <w:r w:rsidRPr="00820D8C">
              <w:rPr>
                <w:b/>
                <w:bCs/>
                <w:sz w:val="20"/>
                <w:szCs w:val="20"/>
                <w:lang w:eastAsia="ja-JP"/>
              </w:rPr>
              <w:t>КМУ від</w:t>
            </w:r>
            <w:r w:rsidR="00820D8C">
              <w:rPr>
                <w:b/>
                <w:bCs/>
                <w:sz w:val="20"/>
                <w:szCs w:val="20"/>
                <w:lang w:eastAsia="ja-JP"/>
              </w:rPr>
              <w:t xml:space="preserve"> </w:t>
            </w:r>
            <w:r w:rsidRPr="00820D8C">
              <w:rPr>
                <w:b/>
                <w:bCs/>
                <w:sz w:val="20"/>
                <w:szCs w:val="20"/>
                <w:lang w:eastAsia="ja-JP"/>
              </w:rPr>
              <w:t xml:space="preserve">28.06.2024 </w:t>
            </w:r>
          </w:p>
          <w:p w:rsidR="00427B6D" w:rsidRPr="00820D8C" w:rsidRDefault="00427B6D" w:rsidP="00606BCD">
            <w:pPr>
              <w:jc w:val="center"/>
              <w:rPr>
                <w:b/>
                <w:bCs/>
                <w:sz w:val="20"/>
                <w:szCs w:val="20"/>
                <w:lang w:eastAsia="uk-UA"/>
              </w:rPr>
            </w:pPr>
            <w:r w:rsidRPr="00820D8C">
              <w:rPr>
                <w:b/>
                <w:bCs/>
                <w:sz w:val="20"/>
                <w:szCs w:val="20"/>
                <w:lang w:eastAsia="ja-JP"/>
              </w:rPr>
              <w:t>№ 780</w:t>
            </w:r>
          </w:p>
        </w:tc>
        <w:tc>
          <w:tcPr>
            <w:tcW w:w="1733" w:type="dxa"/>
            <w:shd w:val="clear" w:color="auto" w:fill="auto"/>
            <w:vAlign w:val="center"/>
          </w:tcPr>
          <w:p w:rsidR="00427B6D" w:rsidRPr="00820D8C" w:rsidRDefault="00427B6D" w:rsidP="00820D8C">
            <w:pPr>
              <w:jc w:val="center"/>
              <w:rPr>
                <w:b/>
                <w:bCs/>
                <w:sz w:val="20"/>
                <w:szCs w:val="20"/>
                <w:lang w:eastAsia="uk-UA"/>
              </w:rPr>
            </w:pPr>
            <w:r w:rsidRPr="00820D8C">
              <w:rPr>
                <w:b/>
                <w:bCs/>
                <w:sz w:val="20"/>
                <w:szCs w:val="20"/>
                <w:lang w:eastAsia="ja-JP"/>
              </w:rPr>
              <w:t>О</w:t>
            </w:r>
            <w:r w:rsidRPr="00820D8C">
              <w:rPr>
                <w:b/>
                <w:bCs/>
                <w:sz w:val="20"/>
                <w:szCs w:val="20"/>
                <w:lang w:eastAsia="uk-UA"/>
              </w:rPr>
              <w:t>чікуване</w:t>
            </w:r>
            <w:r w:rsidR="00820D8C">
              <w:rPr>
                <w:b/>
                <w:bCs/>
                <w:sz w:val="20"/>
                <w:szCs w:val="20"/>
                <w:lang w:eastAsia="uk-UA"/>
              </w:rPr>
              <w:t xml:space="preserve"> </w:t>
            </w:r>
            <w:r w:rsidRPr="00820D8C">
              <w:rPr>
                <w:b/>
                <w:bCs/>
                <w:sz w:val="20"/>
                <w:szCs w:val="20"/>
                <w:lang w:eastAsia="uk-UA"/>
              </w:rPr>
              <w:t>Мінекономіки</w:t>
            </w:r>
            <w:r w:rsidR="00820D8C">
              <w:rPr>
                <w:b/>
                <w:bCs/>
                <w:sz w:val="20"/>
                <w:szCs w:val="20"/>
                <w:lang w:eastAsia="uk-UA"/>
              </w:rPr>
              <w:t xml:space="preserve"> </w:t>
            </w:r>
            <w:r w:rsidRPr="00820D8C">
              <w:rPr>
                <w:b/>
                <w:bCs/>
                <w:sz w:val="20"/>
                <w:szCs w:val="20"/>
                <w:lang w:eastAsia="uk-UA"/>
              </w:rPr>
              <w:t xml:space="preserve">(станом на </w:t>
            </w:r>
            <w:r w:rsidRPr="00820D8C">
              <w:rPr>
                <w:b/>
                <w:bCs/>
                <w:sz w:val="20"/>
                <w:szCs w:val="20"/>
                <w:lang w:val="en-US" w:eastAsia="uk-UA"/>
              </w:rPr>
              <w:t>06</w:t>
            </w:r>
            <w:r w:rsidRPr="00820D8C">
              <w:rPr>
                <w:b/>
                <w:bCs/>
                <w:sz w:val="20"/>
                <w:szCs w:val="20"/>
                <w:lang w:eastAsia="uk-UA"/>
              </w:rPr>
              <w:t>.08.2025)</w:t>
            </w:r>
          </w:p>
        </w:tc>
        <w:tc>
          <w:tcPr>
            <w:tcW w:w="1276" w:type="dxa"/>
            <w:gridSpan w:val="2"/>
            <w:shd w:val="clear" w:color="auto" w:fill="auto"/>
            <w:vAlign w:val="center"/>
          </w:tcPr>
          <w:p w:rsidR="00427B6D" w:rsidRPr="00820D8C" w:rsidRDefault="00427B6D" w:rsidP="00606BCD">
            <w:pPr>
              <w:jc w:val="center"/>
              <w:rPr>
                <w:b/>
                <w:bCs/>
                <w:sz w:val="20"/>
                <w:szCs w:val="20"/>
                <w:lang w:eastAsia="ja-JP"/>
              </w:rPr>
            </w:pPr>
            <w:r w:rsidRPr="00820D8C">
              <w:rPr>
                <w:b/>
                <w:bCs/>
                <w:sz w:val="20"/>
                <w:szCs w:val="20"/>
                <w:lang w:eastAsia="ja-JP"/>
              </w:rPr>
              <w:t xml:space="preserve">Постанова </w:t>
            </w:r>
          </w:p>
          <w:p w:rsidR="00427B6D" w:rsidRPr="00820D8C" w:rsidRDefault="00427B6D" w:rsidP="00606BCD">
            <w:pPr>
              <w:jc w:val="center"/>
              <w:rPr>
                <w:b/>
                <w:bCs/>
                <w:sz w:val="20"/>
                <w:szCs w:val="20"/>
                <w:lang w:eastAsia="ja-JP"/>
              </w:rPr>
            </w:pPr>
            <w:r w:rsidRPr="00820D8C">
              <w:rPr>
                <w:b/>
                <w:bCs/>
                <w:sz w:val="20"/>
                <w:szCs w:val="20"/>
                <w:lang w:eastAsia="ja-JP"/>
              </w:rPr>
              <w:t>КМУ від</w:t>
            </w:r>
            <w:r w:rsidR="00820D8C">
              <w:rPr>
                <w:b/>
                <w:bCs/>
                <w:sz w:val="20"/>
                <w:szCs w:val="20"/>
                <w:lang w:eastAsia="ja-JP"/>
              </w:rPr>
              <w:t xml:space="preserve"> </w:t>
            </w:r>
            <w:r w:rsidRPr="00820D8C">
              <w:rPr>
                <w:b/>
                <w:bCs/>
                <w:sz w:val="20"/>
                <w:szCs w:val="20"/>
                <w:lang w:eastAsia="ja-JP"/>
              </w:rPr>
              <w:t xml:space="preserve">06.08.2025 </w:t>
            </w:r>
          </w:p>
          <w:p w:rsidR="00427B6D" w:rsidRPr="00820D8C" w:rsidRDefault="00427B6D" w:rsidP="00606BCD">
            <w:pPr>
              <w:jc w:val="center"/>
              <w:rPr>
                <w:b/>
                <w:bCs/>
                <w:sz w:val="20"/>
                <w:szCs w:val="20"/>
                <w:lang w:eastAsia="ja-JP"/>
              </w:rPr>
            </w:pPr>
            <w:r w:rsidRPr="00820D8C">
              <w:rPr>
                <w:b/>
                <w:bCs/>
                <w:sz w:val="20"/>
                <w:szCs w:val="20"/>
                <w:lang w:eastAsia="ja-JP"/>
              </w:rPr>
              <w:t>№ 946</w:t>
            </w:r>
          </w:p>
          <w:p w:rsidR="00427B6D" w:rsidRPr="00820D8C" w:rsidRDefault="00427B6D" w:rsidP="00606BCD">
            <w:pPr>
              <w:jc w:val="center"/>
              <w:rPr>
                <w:b/>
                <w:bCs/>
                <w:sz w:val="20"/>
                <w:szCs w:val="20"/>
                <w:lang w:eastAsia="uk-UA"/>
              </w:rPr>
            </w:pPr>
            <w:r w:rsidRPr="00820D8C">
              <w:rPr>
                <w:b/>
                <w:bCs/>
                <w:sz w:val="20"/>
                <w:szCs w:val="20"/>
                <w:lang w:eastAsia="uk-UA"/>
              </w:rPr>
              <w:t xml:space="preserve">Сценарій 2 </w:t>
            </w:r>
          </w:p>
        </w:tc>
      </w:tr>
      <w:tr w:rsidR="00427B6D" w:rsidTr="00820D8C">
        <w:trPr>
          <w:gridAfter w:val="1"/>
          <w:wAfter w:w="13" w:type="dxa"/>
          <w:jc w:val="center"/>
        </w:trPr>
        <w:tc>
          <w:tcPr>
            <w:tcW w:w="3746" w:type="dxa"/>
            <w:shd w:val="clear" w:color="auto" w:fill="auto"/>
          </w:tcPr>
          <w:p w:rsidR="00427B6D" w:rsidRDefault="00427B6D" w:rsidP="00606BCD">
            <w:pPr>
              <w:rPr>
                <w:b/>
                <w:bCs/>
                <w:sz w:val="24"/>
                <w:lang w:eastAsia="uk-UA"/>
              </w:rPr>
            </w:pPr>
            <w:r>
              <w:rPr>
                <w:b/>
                <w:bCs/>
                <w:sz w:val="24"/>
                <w:lang w:eastAsia="uk-UA"/>
              </w:rPr>
              <w:t>Валовий внутрішній продукт:</w:t>
            </w:r>
          </w:p>
        </w:tc>
        <w:tc>
          <w:tcPr>
            <w:tcW w:w="937" w:type="dxa"/>
            <w:shd w:val="clear" w:color="auto" w:fill="auto"/>
            <w:vAlign w:val="bottom"/>
          </w:tcPr>
          <w:p w:rsidR="00427B6D" w:rsidRDefault="00427B6D" w:rsidP="00606BCD">
            <w:pPr>
              <w:jc w:val="right"/>
              <w:rPr>
                <w:sz w:val="24"/>
                <w:lang w:eastAsia="uk-UA"/>
              </w:rPr>
            </w:pPr>
          </w:p>
        </w:tc>
        <w:tc>
          <w:tcPr>
            <w:tcW w:w="1408" w:type="dxa"/>
            <w:shd w:val="clear" w:color="auto" w:fill="auto"/>
            <w:vAlign w:val="bottom"/>
          </w:tcPr>
          <w:p w:rsidR="00427B6D" w:rsidRDefault="00427B6D" w:rsidP="00606BCD">
            <w:pPr>
              <w:jc w:val="right"/>
              <w:rPr>
                <w:sz w:val="24"/>
                <w:lang w:eastAsia="uk-UA"/>
              </w:rPr>
            </w:pPr>
          </w:p>
        </w:tc>
        <w:tc>
          <w:tcPr>
            <w:tcW w:w="1733" w:type="dxa"/>
            <w:shd w:val="clear" w:color="auto" w:fill="auto"/>
            <w:vAlign w:val="bottom"/>
          </w:tcPr>
          <w:p w:rsidR="00427B6D" w:rsidRDefault="00427B6D" w:rsidP="00606BCD">
            <w:pPr>
              <w:jc w:val="right"/>
              <w:rPr>
                <w:sz w:val="24"/>
                <w:lang w:eastAsia="uk-UA"/>
              </w:rPr>
            </w:pPr>
          </w:p>
        </w:tc>
        <w:tc>
          <w:tcPr>
            <w:tcW w:w="1276" w:type="dxa"/>
            <w:gridSpan w:val="2"/>
            <w:shd w:val="clear" w:color="auto" w:fill="auto"/>
            <w:vAlign w:val="bottom"/>
          </w:tcPr>
          <w:p w:rsidR="00427B6D" w:rsidRDefault="00427B6D" w:rsidP="00606BCD">
            <w:pPr>
              <w:jc w:val="right"/>
              <w:rPr>
                <w:sz w:val="24"/>
                <w:lang w:eastAsia="uk-UA"/>
              </w:rPr>
            </w:pPr>
          </w:p>
        </w:tc>
      </w:tr>
      <w:tr w:rsidR="00427B6D" w:rsidTr="00820D8C">
        <w:trPr>
          <w:gridAfter w:val="1"/>
          <w:wAfter w:w="13" w:type="dxa"/>
          <w:jc w:val="center"/>
        </w:trPr>
        <w:tc>
          <w:tcPr>
            <w:tcW w:w="3746" w:type="dxa"/>
            <w:shd w:val="clear" w:color="auto" w:fill="auto"/>
          </w:tcPr>
          <w:p w:rsidR="00427B6D" w:rsidRDefault="00427B6D" w:rsidP="00606BCD">
            <w:pPr>
              <w:ind w:left="224"/>
              <w:rPr>
                <w:sz w:val="24"/>
                <w:lang w:eastAsia="uk-UA"/>
              </w:rPr>
            </w:pPr>
            <w:r>
              <w:rPr>
                <w:sz w:val="24"/>
                <w:lang w:eastAsia="uk-UA"/>
              </w:rPr>
              <w:t>номінальний, млрд грн</w:t>
            </w:r>
          </w:p>
        </w:tc>
        <w:tc>
          <w:tcPr>
            <w:tcW w:w="937" w:type="dxa"/>
            <w:shd w:val="clear" w:color="auto" w:fill="auto"/>
            <w:vAlign w:val="bottom"/>
          </w:tcPr>
          <w:p w:rsidR="00427B6D" w:rsidRDefault="00427B6D" w:rsidP="00606BCD">
            <w:pPr>
              <w:jc w:val="right"/>
              <w:rPr>
                <w:sz w:val="24"/>
                <w:lang w:eastAsia="uk-UA"/>
              </w:rPr>
            </w:pPr>
            <w:r>
              <w:rPr>
                <w:iCs/>
                <w:color w:val="000000"/>
                <w:sz w:val="24"/>
              </w:rPr>
              <w:t>7 658,7</w:t>
            </w:r>
          </w:p>
        </w:tc>
        <w:tc>
          <w:tcPr>
            <w:tcW w:w="1408" w:type="dxa"/>
            <w:shd w:val="clear" w:color="auto" w:fill="auto"/>
          </w:tcPr>
          <w:p w:rsidR="00427B6D" w:rsidRDefault="00427B6D" w:rsidP="00606BCD">
            <w:pPr>
              <w:jc w:val="right"/>
              <w:rPr>
                <w:sz w:val="24"/>
                <w:lang w:val="en-US" w:eastAsia="uk-UA"/>
              </w:rPr>
            </w:pPr>
            <w:r>
              <w:rPr>
                <w:sz w:val="24"/>
                <w:lang w:val="en-US" w:eastAsia="uk-UA"/>
              </w:rPr>
              <w:t>8 466,3</w:t>
            </w:r>
          </w:p>
        </w:tc>
        <w:tc>
          <w:tcPr>
            <w:tcW w:w="1733" w:type="dxa"/>
            <w:shd w:val="clear" w:color="auto" w:fill="auto"/>
          </w:tcPr>
          <w:p w:rsidR="00427B6D" w:rsidRDefault="00427B6D" w:rsidP="00606BCD">
            <w:pPr>
              <w:jc w:val="right"/>
              <w:rPr>
                <w:sz w:val="24"/>
                <w:lang w:val="en-US" w:eastAsia="uk-UA"/>
              </w:rPr>
            </w:pPr>
            <w:r>
              <w:rPr>
                <w:sz w:val="24"/>
                <w:lang w:val="en-US" w:eastAsia="uk-UA"/>
              </w:rPr>
              <w:t>8 967,4</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10 309,3</w:t>
            </w:r>
          </w:p>
        </w:tc>
      </w:tr>
      <w:tr w:rsidR="00427B6D" w:rsidTr="00820D8C">
        <w:trPr>
          <w:gridAfter w:val="1"/>
          <w:wAfter w:w="13" w:type="dxa"/>
          <w:jc w:val="center"/>
        </w:trPr>
        <w:tc>
          <w:tcPr>
            <w:tcW w:w="3746" w:type="dxa"/>
            <w:shd w:val="clear" w:color="auto" w:fill="auto"/>
          </w:tcPr>
          <w:p w:rsidR="00427B6D" w:rsidRDefault="00427B6D" w:rsidP="00606BCD">
            <w:pPr>
              <w:ind w:left="224"/>
              <w:rPr>
                <w:sz w:val="24"/>
                <w:lang w:eastAsia="uk-UA"/>
              </w:rPr>
            </w:pPr>
            <w:r>
              <w:rPr>
                <w:sz w:val="24"/>
                <w:lang w:eastAsia="uk-UA"/>
              </w:rPr>
              <w:t>реальна зміна, відсотків, р/р</w:t>
            </w:r>
          </w:p>
        </w:tc>
        <w:tc>
          <w:tcPr>
            <w:tcW w:w="937" w:type="dxa"/>
            <w:shd w:val="clear" w:color="auto" w:fill="auto"/>
            <w:vAlign w:val="bottom"/>
          </w:tcPr>
          <w:p w:rsidR="00427B6D" w:rsidRDefault="00427B6D" w:rsidP="00606BCD">
            <w:pPr>
              <w:jc w:val="right"/>
              <w:rPr>
                <w:sz w:val="24"/>
                <w:lang w:eastAsia="uk-UA"/>
              </w:rPr>
            </w:pPr>
            <w:r>
              <w:rPr>
                <w:sz w:val="24"/>
                <w:lang w:eastAsia="uk-UA"/>
              </w:rPr>
              <w:t>2,9</w:t>
            </w:r>
          </w:p>
        </w:tc>
        <w:tc>
          <w:tcPr>
            <w:tcW w:w="1408" w:type="dxa"/>
            <w:shd w:val="clear" w:color="auto" w:fill="auto"/>
            <w:vAlign w:val="bottom"/>
          </w:tcPr>
          <w:p w:rsidR="00427B6D" w:rsidRDefault="00427B6D" w:rsidP="00606BCD">
            <w:pPr>
              <w:jc w:val="right"/>
              <w:rPr>
                <w:sz w:val="24"/>
                <w:lang w:eastAsia="uk-UA"/>
              </w:rPr>
            </w:pPr>
            <w:r>
              <w:rPr>
                <w:sz w:val="24"/>
                <w:lang w:eastAsia="uk-UA"/>
              </w:rPr>
              <w:t>2,7</w:t>
            </w:r>
          </w:p>
        </w:tc>
        <w:tc>
          <w:tcPr>
            <w:tcW w:w="1733" w:type="dxa"/>
            <w:shd w:val="clear" w:color="auto" w:fill="auto"/>
            <w:vAlign w:val="bottom"/>
          </w:tcPr>
          <w:p w:rsidR="00427B6D" w:rsidRDefault="00427B6D" w:rsidP="00606BCD">
            <w:pPr>
              <w:jc w:val="right"/>
              <w:rPr>
                <w:sz w:val="24"/>
                <w:lang w:eastAsia="uk-UA"/>
              </w:rPr>
            </w:pPr>
            <w:r>
              <w:rPr>
                <w:sz w:val="24"/>
                <w:lang w:eastAsia="uk-UA"/>
              </w:rPr>
              <w:t>2,7</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2,4</w:t>
            </w:r>
          </w:p>
        </w:tc>
      </w:tr>
      <w:tr w:rsidR="00427B6D" w:rsidTr="00820D8C">
        <w:trPr>
          <w:gridAfter w:val="1"/>
          <w:wAfter w:w="13" w:type="dxa"/>
          <w:jc w:val="center"/>
        </w:trPr>
        <w:tc>
          <w:tcPr>
            <w:tcW w:w="3746" w:type="dxa"/>
            <w:shd w:val="clear" w:color="auto" w:fill="auto"/>
          </w:tcPr>
          <w:p w:rsidR="00427B6D" w:rsidRDefault="00427B6D" w:rsidP="00606BCD">
            <w:pPr>
              <w:rPr>
                <w:b/>
                <w:bCs/>
                <w:sz w:val="24"/>
                <w:lang w:eastAsia="uk-UA"/>
              </w:rPr>
            </w:pPr>
            <w:r>
              <w:rPr>
                <w:b/>
                <w:bCs/>
                <w:sz w:val="24"/>
                <w:lang w:eastAsia="uk-UA"/>
              </w:rPr>
              <w:t>Індекс споживчих цін,</w:t>
            </w:r>
            <w:r>
              <w:rPr>
                <w:sz w:val="24"/>
                <w:lang w:eastAsia="uk-UA"/>
              </w:rPr>
              <w:t> відсотків</w:t>
            </w:r>
            <w:r>
              <w:rPr>
                <w:bCs/>
                <w:sz w:val="24"/>
                <w:lang w:eastAsia="uk-UA"/>
              </w:rPr>
              <w:t>:</w:t>
            </w:r>
          </w:p>
        </w:tc>
        <w:tc>
          <w:tcPr>
            <w:tcW w:w="937" w:type="dxa"/>
            <w:shd w:val="clear" w:color="auto" w:fill="auto"/>
            <w:vAlign w:val="bottom"/>
          </w:tcPr>
          <w:p w:rsidR="00427B6D" w:rsidRDefault="00427B6D" w:rsidP="00606BCD">
            <w:pPr>
              <w:jc w:val="right"/>
              <w:rPr>
                <w:sz w:val="24"/>
                <w:lang w:eastAsia="uk-UA"/>
              </w:rPr>
            </w:pPr>
          </w:p>
        </w:tc>
        <w:tc>
          <w:tcPr>
            <w:tcW w:w="1408" w:type="dxa"/>
            <w:shd w:val="clear" w:color="auto" w:fill="auto"/>
            <w:vAlign w:val="bottom"/>
          </w:tcPr>
          <w:p w:rsidR="00427B6D" w:rsidRDefault="00427B6D" w:rsidP="00606BCD">
            <w:pPr>
              <w:jc w:val="right"/>
              <w:rPr>
                <w:sz w:val="24"/>
                <w:lang w:eastAsia="uk-UA"/>
              </w:rPr>
            </w:pPr>
          </w:p>
        </w:tc>
        <w:tc>
          <w:tcPr>
            <w:tcW w:w="1733" w:type="dxa"/>
            <w:shd w:val="clear" w:color="auto" w:fill="auto"/>
            <w:vAlign w:val="bottom"/>
          </w:tcPr>
          <w:p w:rsidR="00427B6D" w:rsidRDefault="00427B6D" w:rsidP="00606BCD">
            <w:pPr>
              <w:jc w:val="right"/>
              <w:rPr>
                <w:sz w:val="24"/>
                <w:lang w:eastAsia="uk-UA"/>
              </w:rPr>
            </w:pPr>
          </w:p>
        </w:tc>
        <w:tc>
          <w:tcPr>
            <w:tcW w:w="1276" w:type="dxa"/>
            <w:gridSpan w:val="2"/>
            <w:shd w:val="clear" w:color="auto" w:fill="auto"/>
            <w:vAlign w:val="bottom"/>
          </w:tcPr>
          <w:p w:rsidR="00427B6D" w:rsidRDefault="00427B6D" w:rsidP="00606BCD">
            <w:pPr>
              <w:jc w:val="right"/>
              <w:rPr>
                <w:sz w:val="24"/>
                <w:lang w:eastAsia="uk-UA"/>
              </w:rPr>
            </w:pPr>
          </w:p>
        </w:tc>
      </w:tr>
      <w:tr w:rsidR="00427B6D" w:rsidTr="00820D8C">
        <w:trPr>
          <w:gridAfter w:val="1"/>
          <w:wAfter w:w="13" w:type="dxa"/>
          <w:jc w:val="center"/>
        </w:trPr>
        <w:tc>
          <w:tcPr>
            <w:tcW w:w="3746" w:type="dxa"/>
            <w:shd w:val="clear" w:color="auto" w:fill="auto"/>
          </w:tcPr>
          <w:p w:rsidR="00427B6D" w:rsidRDefault="00427B6D" w:rsidP="00606BCD">
            <w:pPr>
              <w:ind w:left="224"/>
              <w:rPr>
                <w:sz w:val="24"/>
                <w:lang w:eastAsia="uk-UA"/>
              </w:rPr>
            </w:pPr>
            <w:r>
              <w:rPr>
                <w:sz w:val="24"/>
                <w:lang w:eastAsia="uk-UA"/>
              </w:rPr>
              <w:t>у середньому до попереднього року, р/р</w:t>
            </w:r>
          </w:p>
        </w:tc>
        <w:tc>
          <w:tcPr>
            <w:tcW w:w="937" w:type="dxa"/>
            <w:shd w:val="clear" w:color="auto" w:fill="auto"/>
            <w:vAlign w:val="bottom"/>
          </w:tcPr>
          <w:p w:rsidR="00427B6D" w:rsidRDefault="00427B6D" w:rsidP="00606BCD">
            <w:pPr>
              <w:jc w:val="right"/>
              <w:rPr>
                <w:sz w:val="24"/>
                <w:lang w:eastAsia="uk-UA"/>
              </w:rPr>
            </w:pPr>
            <w:r>
              <w:rPr>
                <w:sz w:val="24"/>
                <w:lang w:eastAsia="uk-UA"/>
              </w:rPr>
              <w:t>106,5</w:t>
            </w:r>
          </w:p>
        </w:tc>
        <w:tc>
          <w:tcPr>
            <w:tcW w:w="1408" w:type="dxa"/>
            <w:shd w:val="clear" w:color="auto" w:fill="auto"/>
            <w:vAlign w:val="bottom"/>
          </w:tcPr>
          <w:p w:rsidR="00427B6D" w:rsidRDefault="00427B6D" w:rsidP="00606BCD">
            <w:pPr>
              <w:jc w:val="right"/>
              <w:rPr>
                <w:sz w:val="24"/>
                <w:lang w:eastAsia="uk-UA"/>
              </w:rPr>
            </w:pPr>
            <w:r>
              <w:rPr>
                <w:sz w:val="24"/>
                <w:lang w:eastAsia="uk-UA"/>
              </w:rPr>
              <w:t>109,7</w:t>
            </w:r>
          </w:p>
        </w:tc>
        <w:tc>
          <w:tcPr>
            <w:tcW w:w="1733" w:type="dxa"/>
            <w:shd w:val="clear" w:color="auto" w:fill="auto"/>
            <w:vAlign w:val="bottom"/>
          </w:tcPr>
          <w:p w:rsidR="00427B6D" w:rsidRDefault="00427B6D" w:rsidP="00606BCD">
            <w:pPr>
              <w:jc w:val="right"/>
              <w:rPr>
                <w:sz w:val="24"/>
                <w:lang w:eastAsia="uk-UA"/>
              </w:rPr>
            </w:pPr>
            <w:r>
              <w:rPr>
                <w:sz w:val="24"/>
                <w:lang w:eastAsia="uk-UA"/>
              </w:rPr>
              <w:t>112,2</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110,4</w:t>
            </w:r>
          </w:p>
        </w:tc>
      </w:tr>
      <w:tr w:rsidR="00427B6D" w:rsidTr="00820D8C">
        <w:trPr>
          <w:gridAfter w:val="1"/>
          <w:wAfter w:w="13" w:type="dxa"/>
          <w:jc w:val="center"/>
        </w:trPr>
        <w:tc>
          <w:tcPr>
            <w:tcW w:w="3746" w:type="dxa"/>
            <w:shd w:val="clear" w:color="auto" w:fill="auto"/>
          </w:tcPr>
          <w:p w:rsidR="00427B6D" w:rsidRDefault="00427B6D" w:rsidP="00606BCD">
            <w:pPr>
              <w:ind w:left="224"/>
              <w:rPr>
                <w:sz w:val="24"/>
                <w:lang w:eastAsia="uk-UA"/>
              </w:rPr>
            </w:pPr>
            <w:r>
              <w:rPr>
                <w:sz w:val="24"/>
                <w:lang w:eastAsia="uk-UA"/>
              </w:rPr>
              <w:t>грудень до грудня попереднього року, р/р</w:t>
            </w:r>
          </w:p>
        </w:tc>
        <w:tc>
          <w:tcPr>
            <w:tcW w:w="937" w:type="dxa"/>
            <w:shd w:val="clear" w:color="auto" w:fill="auto"/>
            <w:vAlign w:val="bottom"/>
          </w:tcPr>
          <w:p w:rsidR="00427B6D" w:rsidRDefault="00427B6D" w:rsidP="00606BCD">
            <w:pPr>
              <w:jc w:val="right"/>
              <w:rPr>
                <w:sz w:val="24"/>
                <w:lang w:eastAsia="uk-UA"/>
              </w:rPr>
            </w:pPr>
            <w:r>
              <w:rPr>
                <w:sz w:val="24"/>
                <w:lang w:eastAsia="uk-UA"/>
              </w:rPr>
              <w:t>112,0</w:t>
            </w:r>
          </w:p>
        </w:tc>
        <w:tc>
          <w:tcPr>
            <w:tcW w:w="1408" w:type="dxa"/>
            <w:shd w:val="clear" w:color="auto" w:fill="auto"/>
            <w:vAlign w:val="bottom"/>
          </w:tcPr>
          <w:p w:rsidR="00427B6D" w:rsidRDefault="00427B6D" w:rsidP="00606BCD">
            <w:pPr>
              <w:jc w:val="right"/>
              <w:rPr>
                <w:sz w:val="24"/>
                <w:lang w:eastAsia="uk-UA"/>
              </w:rPr>
            </w:pPr>
            <w:r>
              <w:rPr>
                <w:sz w:val="24"/>
                <w:lang w:eastAsia="uk-UA"/>
              </w:rPr>
              <w:t>109,5</w:t>
            </w:r>
          </w:p>
        </w:tc>
        <w:tc>
          <w:tcPr>
            <w:tcW w:w="1733" w:type="dxa"/>
            <w:shd w:val="clear" w:color="auto" w:fill="auto"/>
            <w:vAlign w:val="bottom"/>
          </w:tcPr>
          <w:p w:rsidR="00427B6D" w:rsidRDefault="00427B6D" w:rsidP="00606BCD">
            <w:pPr>
              <w:jc w:val="right"/>
              <w:rPr>
                <w:sz w:val="24"/>
                <w:lang w:eastAsia="uk-UA"/>
              </w:rPr>
            </w:pPr>
            <w:r>
              <w:rPr>
                <w:sz w:val="24"/>
                <w:lang w:eastAsia="uk-UA"/>
              </w:rPr>
              <w:t>109,5</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109,9</w:t>
            </w:r>
          </w:p>
        </w:tc>
      </w:tr>
      <w:tr w:rsidR="00427B6D" w:rsidTr="00820D8C">
        <w:trPr>
          <w:gridAfter w:val="1"/>
          <w:wAfter w:w="13" w:type="dxa"/>
          <w:jc w:val="center"/>
        </w:trPr>
        <w:tc>
          <w:tcPr>
            <w:tcW w:w="3746" w:type="dxa"/>
            <w:shd w:val="clear" w:color="auto" w:fill="auto"/>
          </w:tcPr>
          <w:p w:rsidR="00427B6D" w:rsidRDefault="00427B6D" w:rsidP="00606BCD">
            <w:pPr>
              <w:rPr>
                <w:b/>
                <w:bCs/>
                <w:sz w:val="24"/>
                <w:lang w:eastAsia="uk-UA"/>
              </w:rPr>
            </w:pPr>
            <w:r>
              <w:rPr>
                <w:b/>
                <w:bCs/>
                <w:sz w:val="24"/>
                <w:lang w:eastAsia="uk-UA"/>
              </w:rPr>
              <w:t>Індекс цін виробників промислової продукції,</w:t>
            </w:r>
            <w:r>
              <w:rPr>
                <w:sz w:val="24"/>
                <w:lang w:eastAsia="uk-UA"/>
              </w:rPr>
              <w:t> відсотків</w:t>
            </w:r>
            <w:r>
              <w:rPr>
                <w:bCs/>
                <w:sz w:val="24"/>
                <w:lang w:eastAsia="uk-UA"/>
              </w:rPr>
              <w:t>:</w:t>
            </w:r>
          </w:p>
        </w:tc>
        <w:tc>
          <w:tcPr>
            <w:tcW w:w="937" w:type="dxa"/>
            <w:shd w:val="clear" w:color="auto" w:fill="auto"/>
            <w:vAlign w:val="bottom"/>
          </w:tcPr>
          <w:p w:rsidR="00427B6D" w:rsidRDefault="00427B6D" w:rsidP="00606BCD">
            <w:pPr>
              <w:jc w:val="right"/>
              <w:rPr>
                <w:sz w:val="24"/>
                <w:lang w:eastAsia="uk-UA"/>
              </w:rPr>
            </w:pPr>
          </w:p>
        </w:tc>
        <w:tc>
          <w:tcPr>
            <w:tcW w:w="1408" w:type="dxa"/>
            <w:shd w:val="clear" w:color="auto" w:fill="auto"/>
            <w:vAlign w:val="bottom"/>
          </w:tcPr>
          <w:p w:rsidR="00427B6D" w:rsidRDefault="00427B6D" w:rsidP="00606BCD">
            <w:pPr>
              <w:jc w:val="right"/>
              <w:rPr>
                <w:sz w:val="24"/>
                <w:lang w:eastAsia="uk-UA"/>
              </w:rPr>
            </w:pPr>
          </w:p>
        </w:tc>
        <w:tc>
          <w:tcPr>
            <w:tcW w:w="1733" w:type="dxa"/>
            <w:shd w:val="clear" w:color="auto" w:fill="auto"/>
            <w:vAlign w:val="bottom"/>
          </w:tcPr>
          <w:p w:rsidR="00427B6D" w:rsidRDefault="00427B6D" w:rsidP="00606BCD">
            <w:pPr>
              <w:jc w:val="right"/>
              <w:rPr>
                <w:sz w:val="24"/>
                <w:lang w:eastAsia="uk-UA"/>
              </w:rPr>
            </w:pPr>
          </w:p>
        </w:tc>
        <w:tc>
          <w:tcPr>
            <w:tcW w:w="1276" w:type="dxa"/>
            <w:gridSpan w:val="2"/>
            <w:shd w:val="clear" w:color="auto" w:fill="auto"/>
            <w:vAlign w:val="bottom"/>
          </w:tcPr>
          <w:p w:rsidR="00427B6D" w:rsidRDefault="00427B6D" w:rsidP="00606BCD">
            <w:pPr>
              <w:jc w:val="right"/>
              <w:rPr>
                <w:sz w:val="24"/>
                <w:lang w:eastAsia="uk-UA"/>
              </w:rPr>
            </w:pPr>
          </w:p>
        </w:tc>
      </w:tr>
      <w:tr w:rsidR="00427B6D" w:rsidTr="00820D8C">
        <w:trPr>
          <w:gridAfter w:val="1"/>
          <w:wAfter w:w="13" w:type="dxa"/>
          <w:jc w:val="center"/>
        </w:trPr>
        <w:tc>
          <w:tcPr>
            <w:tcW w:w="3746" w:type="dxa"/>
            <w:shd w:val="clear" w:color="auto" w:fill="auto"/>
          </w:tcPr>
          <w:p w:rsidR="00427B6D" w:rsidRDefault="00427B6D" w:rsidP="00606BCD">
            <w:pPr>
              <w:ind w:left="224"/>
              <w:rPr>
                <w:sz w:val="24"/>
                <w:lang w:eastAsia="uk-UA"/>
              </w:rPr>
            </w:pPr>
            <w:r>
              <w:rPr>
                <w:sz w:val="24"/>
                <w:lang w:eastAsia="uk-UA"/>
              </w:rPr>
              <w:t>грудень до грудня попереднього року, р/р</w:t>
            </w:r>
          </w:p>
        </w:tc>
        <w:tc>
          <w:tcPr>
            <w:tcW w:w="937" w:type="dxa"/>
            <w:shd w:val="clear" w:color="auto" w:fill="auto"/>
            <w:vAlign w:val="bottom"/>
          </w:tcPr>
          <w:p w:rsidR="00427B6D" w:rsidRDefault="00427B6D" w:rsidP="00606BCD">
            <w:pPr>
              <w:jc w:val="right"/>
              <w:rPr>
                <w:sz w:val="24"/>
                <w:lang w:eastAsia="uk-UA"/>
              </w:rPr>
            </w:pPr>
            <w:r>
              <w:rPr>
                <w:sz w:val="24"/>
                <w:lang w:eastAsia="uk-UA"/>
              </w:rPr>
              <w:t>127,6</w:t>
            </w:r>
          </w:p>
        </w:tc>
        <w:tc>
          <w:tcPr>
            <w:tcW w:w="1408" w:type="dxa"/>
            <w:shd w:val="clear" w:color="auto" w:fill="auto"/>
            <w:vAlign w:val="bottom"/>
          </w:tcPr>
          <w:p w:rsidR="00427B6D" w:rsidRDefault="00427B6D" w:rsidP="00606BCD">
            <w:pPr>
              <w:jc w:val="right"/>
              <w:rPr>
                <w:sz w:val="24"/>
                <w:lang w:eastAsia="uk-UA"/>
              </w:rPr>
            </w:pPr>
            <w:r>
              <w:rPr>
                <w:sz w:val="24"/>
                <w:lang w:eastAsia="uk-UA"/>
              </w:rPr>
              <w:t>111,1</w:t>
            </w:r>
          </w:p>
        </w:tc>
        <w:tc>
          <w:tcPr>
            <w:tcW w:w="1733" w:type="dxa"/>
            <w:shd w:val="clear" w:color="auto" w:fill="auto"/>
            <w:vAlign w:val="bottom"/>
          </w:tcPr>
          <w:p w:rsidR="00427B6D" w:rsidRDefault="00427B6D" w:rsidP="00606BCD">
            <w:pPr>
              <w:jc w:val="right"/>
              <w:rPr>
                <w:sz w:val="24"/>
                <w:lang w:eastAsia="uk-UA"/>
              </w:rPr>
            </w:pPr>
            <w:r>
              <w:rPr>
                <w:sz w:val="24"/>
                <w:lang w:eastAsia="uk-UA"/>
              </w:rPr>
              <w:t>114,2</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113,6</w:t>
            </w:r>
          </w:p>
        </w:tc>
      </w:tr>
      <w:tr w:rsidR="00427B6D" w:rsidTr="00820D8C">
        <w:trPr>
          <w:gridAfter w:val="1"/>
          <w:wAfter w:w="13" w:type="dxa"/>
          <w:jc w:val="center"/>
        </w:trPr>
        <w:tc>
          <w:tcPr>
            <w:tcW w:w="3746" w:type="dxa"/>
            <w:shd w:val="clear" w:color="auto" w:fill="auto"/>
          </w:tcPr>
          <w:p w:rsidR="00427B6D" w:rsidRDefault="00427B6D" w:rsidP="00606BCD">
            <w:pPr>
              <w:rPr>
                <w:sz w:val="24"/>
                <w:lang w:eastAsia="uk-UA"/>
              </w:rPr>
            </w:pPr>
            <w:r>
              <w:rPr>
                <w:b/>
                <w:bCs/>
                <w:sz w:val="24"/>
                <w:lang w:eastAsia="uk-UA"/>
              </w:rPr>
              <w:t>Середньомісячна заробітна плата працівників</w:t>
            </w:r>
            <w:r>
              <w:rPr>
                <w:sz w:val="24"/>
                <w:lang w:eastAsia="uk-UA"/>
              </w:rPr>
              <w:t>, брутто, номінальна, грн</w:t>
            </w:r>
          </w:p>
        </w:tc>
        <w:tc>
          <w:tcPr>
            <w:tcW w:w="937" w:type="dxa"/>
            <w:shd w:val="clear" w:color="auto" w:fill="auto"/>
            <w:vAlign w:val="bottom"/>
          </w:tcPr>
          <w:p w:rsidR="00427B6D" w:rsidRDefault="00427B6D" w:rsidP="00606BCD">
            <w:pPr>
              <w:jc w:val="right"/>
              <w:rPr>
                <w:sz w:val="24"/>
                <w:lang w:eastAsia="uk-UA"/>
              </w:rPr>
            </w:pPr>
            <w:r>
              <w:rPr>
                <w:sz w:val="24"/>
                <w:lang w:eastAsia="uk-UA"/>
              </w:rPr>
              <w:t>21 473</w:t>
            </w:r>
          </w:p>
        </w:tc>
        <w:tc>
          <w:tcPr>
            <w:tcW w:w="1408" w:type="dxa"/>
            <w:shd w:val="clear" w:color="auto" w:fill="auto"/>
            <w:vAlign w:val="bottom"/>
          </w:tcPr>
          <w:p w:rsidR="00427B6D" w:rsidRDefault="00427B6D" w:rsidP="00606BCD">
            <w:pPr>
              <w:jc w:val="right"/>
              <w:rPr>
                <w:sz w:val="24"/>
                <w:lang w:eastAsia="uk-UA"/>
              </w:rPr>
            </w:pPr>
            <w:r>
              <w:rPr>
                <w:sz w:val="24"/>
                <w:lang w:eastAsia="uk-UA"/>
              </w:rPr>
              <w:t>24 389</w:t>
            </w:r>
          </w:p>
        </w:tc>
        <w:tc>
          <w:tcPr>
            <w:tcW w:w="1733" w:type="dxa"/>
            <w:shd w:val="clear" w:color="auto" w:fill="auto"/>
            <w:vAlign w:val="bottom"/>
          </w:tcPr>
          <w:p w:rsidR="00427B6D" w:rsidRDefault="00427B6D" w:rsidP="00606BCD">
            <w:pPr>
              <w:jc w:val="right"/>
              <w:rPr>
                <w:sz w:val="24"/>
                <w:lang w:eastAsia="uk-UA"/>
              </w:rPr>
            </w:pPr>
            <w:r>
              <w:rPr>
                <w:sz w:val="24"/>
                <w:lang w:eastAsia="uk-UA"/>
              </w:rPr>
              <w:t>25 886</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30 032</w:t>
            </w:r>
          </w:p>
        </w:tc>
      </w:tr>
      <w:tr w:rsidR="00427B6D" w:rsidTr="00820D8C">
        <w:trPr>
          <w:gridAfter w:val="1"/>
          <w:wAfter w:w="13" w:type="dxa"/>
          <w:jc w:val="center"/>
        </w:trPr>
        <w:tc>
          <w:tcPr>
            <w:tcW w:w="3746" w:type="dxa"/>
            <w:shd w:val="clear" w:color="auto" w:fill="auto"/>
          </w:tcPr>
          <w:p w:rsidR="00427B6D" w:rsidRDefault="00427B6D" w:rsidP="00606BCD">
            <w:pPr>
              <w:rPr>
                <w:sz w:val="24"/>
                <w:lang w:eastAsia="uk-UA"/>
              </w:rPr>
            </w:pPr>
            <w:r>
              <w:rPr>
                <w:b/>
                <w:bCs/>
                <w:sz w:val="24"/>
                <w:lang w:eastAsia="uk-UA"/>
              </w:rPr>
              <w:t>Рівень безробіття населення</w:t>
            </w:r>
            <w:r>
              <w:rPr>
                <w:sz w:val="24"/>
                <w:lang w:eastAsia="uk-UA"/>
              </w:rPr>
              <w:t xml:space="preserve"> у віці 15 – 70 років за методологією МОП, відсотків до робочої сили відповідної вікової групи</w:t>
            </w:r>
          </w:p>
        </w:tc>
        <w:tc>
          <w:tcPr>
            <w:tcW w:w="937" w:type="dxa"/>
            <w:shd w:val="clear" w:color="auto" w:fill="auto"/>
            <w:vAlign w:val="bottom"/>
          </w:tcPr>
          <w:p w:rsidR="00427B6D" w:rsidRDefault="00427B6D" w:rsidP="00606BCD">
            <w:pPr>
              <w:jc w:val="right"/>
              <w:rPr>
                <w:sz w:val="24"/>
                <w:lang w:eastAsia="uk-UA"/>
              </w:rPr>
            </w:pPr>
            <w:r>
              <w:rPr>
                <w:sz w:val="24"/>
                <w:lang w:eastAsia="uk-UA"/>
              </w:rPr>
              <w:t>13,1</w:t>
            </w:r>
          </w:p>
        </w:tc>
        <w:tc>
          <w:tcPr>
            <w:tcW w:w="1408" w:type="dxa"/>
            <w:shd w:val="clear" w:color="auto" w:fill="auto"/>
            <w:vAlign w:val="bottom"/>
          </w:tcPr>
          <w:p w:rsidR="00427B6D" w:rsidRDefault="00427B6D" w:rsidP="00606BCD">
            <w:pPr>
              <w:jc w:val="right"/>
              <w:rPr>
                <w:sz w:val="24"/>
                <w:lang w:eastAsia="uk-UA"/>
              </w:rPr>
            </w:pPr>
            <w:r>
              <w:rPr>
                <w:sz w:val="24"/>
                <w:lang w:eastAsia="uk-UA"/>
              </w:rPr>
              <w:t>17,7</w:t>
            </w:r>
          </w:p>
        </w:tc>
        <w:tc>
          <w:tcPr>
            <w:tcW w:w="1733" w:type="dxa"/>
            <w:shd w:val="clear" w:color="auto" w:fill="auto"/>
            <w:vAlign w:val="bottom"/>
          </w:tcPr>
          <w:p w:rsidR="00427B6D" w:rsidRDefault="00427B6D" w:rsidP="00606BCD">
            <w:pPr>
              <w:jc w:val="right"/>
              <w:rPr>
                <w:sz w:val="24"/>
                <w:lang w:eastAsia="uk-UA"/>
              </w:rPr>
            </w:pPr>
            <w:r>
              <w:rPr>
                <w:sz w:val="24"/>
                <w:lang w:eastAsia="uk-UA"/>
              </w:rPr>
              <w:t>12,7</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12,6</w:t>
            </w:r>
          </w:p>
        </w:tc>
      </w:tr>
      <w:tr w:rsidR="00427B6D" w:rsidTr="00820D8C">
        <w:trPr>
          <w:gridAfter w:val="1"/>
          <w:wAfter w:w="13" w:type="dxa"/>
          <w:jc w:val="center"/>
        </w:trPr>
        <w:tc>
          <w:tcPr>
            <w:tcW w:w="3746" w:type="dxa"/>
            <w:shd w:val="clear" w:color="auto" w:fill="auto"/>
          </w:tcPr>
          <w:p w:rsidR="00427B6D" w:rsidRDefault="00427B6D" w:rsidP="00606BCD">
            <w:pPr>
              <w:rPr>
                <w:sz w:val="24"/>
                <w:lang w:eastAsia="uk-UA"/>
              </w:rPr>
            </w:pPr>
            <w:r>
              <w:rPr>
                <w:b/>
                <w:bCs/>
                <w:sz w:val="24"/>
                <w:lang w:eastAsia="uk-UA"/>
              </w:rPr>
              <w:t>Сальдо торговельного балансу</w:t>
            </w:r>
            <w:r>
              <w:rPr>
                <w:sz w:val="24"/>
                <w:lang w:eastAsia="uk-UA"/>
              </w:rPr>
              <w:t>, визначене за методологією платіжного балансу, млн доларів США</w:t>
            </w:r>
          </w:p>
        </w:tc>
        <w:tc>
          <w:tcPr>
            <w:tcW w:w="937" w:type="dxa"/>
            <w:shd w:val="clear" w:color="auto" w:fill="auto"/>
            <w:vAlign w:val="bottom"/>
          </w:tcPr>
          <w:p w:rsidR="00427B6D" w:rsidRDefault="00427B6D" w:rsidP="00606BCD">
            <w:pPr>
              <w:jc w:val="right"/>
              <w:rPr>
                <w:sz w:val="24"/>
                <w:lang w:val="en-US" w:eastAsia="uk-UA"/>
              </w:rPr>
            </w:pPr>
            <w:r>
              <w:rPr>
                <w:sz w:val="24"/>
                <w:lang w:eastAsia="uk-UA"/>
              </w:rPr>
              <w:t>-39 403</w:t>
            </w:r>
          </w:p>
        </w:tc>
        <w:tc>
          <w:tcPr>
            <w:tcW w:w="1408" w:type="dxa"/>
            <w:shd w:val="clear" w:color="auto" w:fill="auto"/>
            <w:vAlign w:val="bottom"/>
          </w:tcPr>
          <w:p w:rsidR="00427B6D" w:rsidRDefault="00427B6D" w:rsidP="00606BCD">
            <w:pPr>
              <w:jc w:val="right"/>
              <w:rPr>
                <w:sz w:val="24"/>
                <w:lang w:eastAsia="uk-UA"/>
              </w:rPr>
            </w:pPr>
            <w:r>
              <w:rPr>
                <w:sz w:val="24"/>
                <w:lang w:eastAsia="uk-UA"/>
              </w:rPr>
              <w:t>-40 675</w:t>
            </w:r>
          </w:p>
        </w:tc>
        <w:tc>
          <w:tcPr>
            <w:tcW w:w="1733" w:type="dxa"/>
            <w:shd w:val="clear" w:color="auto" w:fill="auto"/>
            <w:vAlign w:val="bottom"/>
          </w:tcPr>
          <w:p w:rsidR="00427B6D" w:rsidRDefault="00427B6D" w:rsidP="00606BCD">
            <w:pPr>
              <w:jc w:val="right"/>
              <w:rPr>
                <w:sz w:val="24"/>
                <w:lang w:eastAsia="uk-UA"/>
              </w:rPr>
            </w:pPr>
            <w:r>
              <w:rPr>
                <w:sz w:val="24"/>
                <w:lang w:eastAsia="uk-UA"/>
              </w:rPr>
              <w:t>-40 361</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-44 461</w:t>
            </w:r>
          </w:p>
        </w:tc>
      </w:tr>
      <w:tr w:rsidR="00427B6D" w:rsidTr="00820D8C">
        <w:trPr>
          <w:gridAfter w:val="1"/>
          <w:wAfter w:w="13" w:type="dxa"/>
          <w:jc w:val="center"/>
        </w:trPr>
        <w:tc>
          <w:tcPr>
            <w:tcW w:w="3746" w:type="dxa"/>
            <w:shd w:val="clear" w:color="auto" w:fill="auto"/>
          </w:tcPr>
          <w:p w:rsidR="00427B6D" w:rsidRDefault="00427B6D" w:rsidP="00606BCD">
            <w:pPr>
              <w:rPr>
                <w:b/>
                <w:bCs/>
                <w:sz w:val="24"/>
                <w:lang w:eastAsia="uk-UA"/>
              </w:rPr>
            </w:pPr>
            <w:r>
              <w:rPr>
                <w:b/>
                <w:bCs/>
                <w:sz w:val="24"/>
                <w:lang w:eastAsia="uk-UA"/>
              </w:rPr>
              <w:t>Експорт товарів та послуг</w:t>
            </w:r>
            <w:r w:rsidRPr="007C3551">
              <w:rPr>
                <w:bCs/>
                <w:sz w:val="24"/>
                <w:lang w:eastAsia="uk-UA"/>
              </w:rPr>
              <w:t xml:space="preserve">, </w:t>
            </w:r>
            <w:r>
              <w:rPr>
                <w:sz w:val="24"/>
                <w:lang w:eastAsia="uk-UA"/>
              </w:rPr>
              <w:t>млн доларів США</w:t>
            </w:r>
          </w:p>
        </w:tc>
        <w:tc>
          <w:tcPr>
            <w:tcW w:w="937" w:type="dxa"/>
            <w:shd w:val="clear" w:color="auto" w:fill="auto"/>
            <w:vAlign w:val="bottom"/>
          </w:tcPr>
          <w:p w:rsidR="00427B6D" w:rsidRDefault="00427B6D" w:rsidP="00606BCD">
            <w:pPr>
              <w:jc w:val="right"/>
              <w:rPr>
                <w:sz w:val="24"/>
                <w:lang w:eastAsia="uk-UA"/>
              </w:rPr>
            </w:pPr>
            <w:r>
              <w:rPr>
                <w:sz w:val="24"/>
                <w:lang w:eastAsia="uk-UA"/>
              </w:rPr>
              <w:t>56 114</w:t>
            </w:r>
          </w:p>
        </w:tc>
        <w:tc>
          <w:tcPr>
            <w:tcW w:w="1408" w:type="dxa"/>
            <w:shd w:val="clear" w:color="auto" w:fill="auto"/>
            <w:vAlign w:val="bottom"/>
          </w:tcPr>
          <w:p w:rsidR="00427B6D" w:rsidRDefault="00427B6D" w:rsidP="00606BCD">
            <w:pPr>
              <w:jc w:val="right"/>
              <w:rPr>
                <w:sz w:val="24"/>
                <w:lang w:eastAsia="uk-UA"/>
              </w:rPr>
            </w:pPr>
            <w:r>
              <w:rPr>
                <w:sz w:val="24"/>
                <w:lang w:eastAsia="uk-UA"/>
              </w:rPr>
              <w:t>57 229</w:t>
            </w:r>
          </w:p>
        </w:tc>
        <w:tc>
          <w:tcPr>
            <w:tcW w:w="1733" w:type="dxa"/>
            <w:shd w:val="clear" w:color="auto" w:fill="auto"/>
            <w:vAlign w:val="bottom"/>
          </w:tcPr>
          <w:p w:rsidR="00427B6D" w:rsidRDefault="00427B6D" w:rsidP="00606BCD">
            <w:pPr>
              <w:jc w:val="right"/>
              <w:rPr>
                <w:sz w:val="24"/>
                <w:lang w:eastAsia="uk-UA"/>
              </w:rPr>
            </w:pPr>
            <w:r>
              <w:rPr>
                <w:sz w:val="24"/>
                <w:lang w:eastAsia="uk-UA"/>
              </w:rPr>
              <w:t>57 978</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61 380</w:t>
            </w:r>
          </w:p>
        </w:tc>
      </w:tr>
      <w:tr w:rsidR="00427B6D" w:rsidTr="00820D8C">
        <w:trPr>
          <w:gridAfter w:val="1"/>
          <w:wAfter w:w="13" w:type="dxa"/>
          <w:jc w:val="center"/>
        </w:trPr>
        <w:tc>
          <w:tcPr>
            <w:tcW w:w="3746" w:type="dxa"/>
            <w:shd w:val="clear" w:color="auto" w:fill="auto"/>
          </w:tcPr>
          <w:p w:rsidR="00427B6D" w:rsidRDefault="00427B6D" w:rsidP="00606BCD">
            <w:pPr>
              <w:rPr>
                <w:b/>
                <w:bCs/>
                <w:sz w:val="24"/>
                <w:lang w:eastAsia="uk-UA"/>
              </w:rPr>
            </w:pPr>
            <w:r>
              <w:rPr>
                <w:b/>
                <w:bCs/>
                <w:sz w:val="24"/>
                <w:lang w:eastAsia="uk-UA"/>
              </w:rPr>
              <w:t>Імпорт товарів та послуг</w:t>
            </w:r>
            <w:r w:rsidRPr="007C3551">
              <w:rPr>
                <w:bCs/>
                <w:sz w:val="24"/>
                <w:lang w:eastAsia="uk-UA"/>
              </w:rPr>
              <w:t xml:space="preserve">, </w:t>
            </w:r>
            <w:r>
              <w:rPr>
                <w:sz w:val="24"/>
                <w:lang w:eastAsia="uk-UA"/>
              </w:rPr>
              <w:t>млн доларів США</w:t>
            </w:r>
          </w:p>
        </w:tc>
        <w:tc>
          <w:tcPr>
            <w:tcW w:w="937" w:type="dxa"/>
            <w:shd w:val="clear" w:color="auto" w:fill="auto"/>
            <w:vAlign w:val="bottom"/>
          </w:tcPr>
          <w:p w:rsidR="00427B6D" w:rsidRDefault="00427B6D" w:rsidP="00606BCD">
            <w:pPr>
              <w:jc w:val="right"/>
              <w:rPr>
                <w:sz w:val="24"/>
                <w:lang w:eastAsia="uk-UA"/>
              </w:rPr>
            </w:pPr>
            <w:r>
              <w:rPr>
                <w:sz w:val="24"/>
                <w:lang w:eastAsia="uk-UA"/>
              </w:rPr>
              <w:t>95 517</w:t>
            </w:r>
          </w:p>
        </w:tc>
        <w:tc>
          <w:tcPr>
            <w:tcW w:w="1408" w:type="dxa"/>
            <w:shd w:val="clear" w:color="auto" w:fill="auto"/>
            <w:vAlign w:val="bottom"/>
          </w:tcPr>
          <w:p w:rsidR="00427B6D" w:rsidRDefault="00427B6D" w:rsidP="00606BCD">
            <w:pPr>
              <w:jc w:val="right"/>
              <w:rPr>
                <w:sz w:val="24"/>
                <w:lang w:eastAsia="uk-UA"/>
              </w:rPr>
            </w:pPr>
            <w:r>
              <w:rPr>
                <w:sz w:val="24"/>
                <w:lang w:eastAsia="uk-UA"/>
              </w:rPr>
              <w:t>97 904</w:t>
            </w:r>
          </w:p>
        </w:tc>
        <w:tc>
          <w:tcPr>
            <w:tcW w:w="1733" w:type="dxa"/>
            <w:shd w:val="clear" w:color="auto" w:fill="auto"/>
            <w:vAlign w:val="bottom"/>
          </w:tcPr>
          <w:p w:rsidR="00427B6D" w:rsidRDefault="00427B6D" w:rsidP="00606BCD">
            <w:pPr>
              <w:jc w:val="right"/>
              <w:rPr>
                <w:sz w:val="24"/>
                <w:lang w:eastAsia="uk-UA"/>
              </w:rPr>
            </w:pPr>
            <w:r>
              <w:rPr>
                <w:sz w:val="24"/>
                <w:lang w:eastAsia="uk-UA"/>
              </w:rPr>
              <w:t>98 339</w:t>
            </w:r>
          </w:p>
        </w:tc>
        <w:tc>
          <w:tcPr>
            <w:tcW w:w="1276" w:type="dxa"/>
            <w:gridSpan w:val="2"/>
            <w:shd w:val="clear" w:color="auto" w:fill="auto"/>
            <w:vAlign w:val="bottom"/>
          </w:tcPr>
          <w:p w:rsidR="00427B6D" w:rsidRDefault="00427B6D" w:rsidP="00606BCD">
            <w:pPr>
              <w:jc w:val="right"/>
              <w:rPr>
                <w:sz w:val="24"/>
                <w:lang w:eastAsia="uk-UA"/>
              </w:rPr>
            </w:pPr>
            <w:r>
              <w:rPr>
                <w:sz w:val="24"/>
                <w:lang w:eastAsia="uk-UA"/>
              </w:rPr>
              <w:t>105 841</w:t>
            </w:r>
          </w:p>
        </w:tc>
      </w:tr>
    </w:tbl>
    <w:p w:rsidR="00427B6D" w:rsidRPr="00D71B85" w:rsidRDefault="00427B6D" w:rsidP="00427B6D">
      <w:pPr>
        <w:tabs>
          <w:tab w:val="left" w:pos="426"/>
        </w:tabs>
        <w:suppressAutoHyphens/>
        <w:ind w:left="426"/>
        <w:jc w:val="both"/>
        <w:rPr>
          <w:sz w:val="14"/>
        </w:rPr>
      </w:pPr>
    </w:p>
    <w:p w:rsidR="00427B6D" w:rsidRPr="00754EA5" w:rsidRDefault="00427B6D" w:rsidP="00820D8C">
      <w:pPr>
        <w:pStyle w:val="a5"/>
        <w:numPr>
          <w:ilvl w:val="0"/>
          <w:numId w:val="4"/>
        </w:numPr>
        <w:tabs>
          <w:tab w:val="left" w:pos="851"/>
          <w:tab w:val="left" w:pos="1080"/>
        </w:tabs>
        <w:ind w:left="0" w:firstLine="567"/>
        <w:jc w:val="both"/>
        <w:rPr>
          <w:rFonts w:ascii="Times New Roman" w:hAnsi="Times New Roman" w:cs="Times New Roman"/>
          <w:sz w:val="26"/>
          <w:szCs w:val="26"/>
        </w:rPr>
      </w:pPr>
      <w:r w:rsidRPr="00754EA5">
        <w:rPr>
          <w:rFonts w:ascii="Times New Roman" w:hAnsi="Times New Roman" w:cs="Times New Roman"/>
          <w:sz w:val="26"/>
          <w:szCs w:val="26"/>
        </w:rPr>
        <w:lastRenderedPageBreak/>
        <w:t>введення воєнного стану на території Україні з 24 лютого 2022 року згідно Указу Президента України від 24.02.2022 N 64/2022 «Про введення воєнного стану в Україні», який затверджений Законом України від 24.02.2022 № 2102-IX «Про затвердження Указу Президента України «Про введення воєнного стану в Україні» (зі змінами);</w:t>
      </w:r>
    </w:p>
    <w:p w:rsidR="00427B6D" w:rsidRPr="00754EA5" w:rsidRDefault="00427B6D" w:rsidP="00820D8C">
      <w:pPr>
        <w:numPr>
          <w:ilvl w:val="0"/>
          <w:numId w:val="4"/>
        </w:numPr>
        <w:tabs>
          <w:tab w:val="left" w:pos="0"/>
          <w:tab w:val="left" w:pos="851"/>
        </w:tabs>
        <w:suppressAutoHyphens/>
        <w:spacing w:line="252" w:lineRule="auto"/>
        <w:ind w:left="0" w:firstLine="567"/>
        <w:jc w:val="both"/>
        <w:rPr>
          <w:iCs/>
          <w:sz w:val="26"/>
          <w:szCs w:val="26"/>
        </w:rPr>
      </w:pPr>
      <w:r w:rsidRPr="00754EA5">
        <w:rPr>
          <w:iCs/>
          <w:sz w:val="26"/>
          <w:szCs w:val="26"/>
        </w:rPr>
        <w:t>продовження на 2026 рік дії тимчасової норми щодо підвищеного (+</w:t>
      </w:r>
      <w:r w:rsidRPr="00754EA5">
        <w:rPr>
          <w:iCs/>
          <w:sz w:val="26"/>
          <w:szCs w:val="26"/>
          <w:lang w:val="ru-RU"/>
        </w:rPr>
        <w:t> </w:t>
      </w:r>
      <w:r w:rsidRPr="00754EA5">
        <w:rPr>
          <w:iCs/>
          <w:sz w:val="26"/>
          <w:szCs w:val="26"/>
        </w:rPr>
        <w:t xml:space="preserve">4%) нормативу зарахування податку на доходи фізичних осіб до місцевих бюджетів </w:t>
      </w:r>
      <w:r w:rsidRPr="00754EA5">
        <w:rPr>
          <w:sz w:val="26"/>
          <w:szCs w:val="26"/>
          <w:shd w:val="clear" w:color="auto" w:fill="FFFFFF"/>
        </w:rPr>
        <w:t>для їх цільового спрямування на розрахунки за енергоносії та на погашення заборгованості з різниці в тарифах</w:t>
      </w:r>
      <w:r w:rsidRPr="00754EA5">
        <w:rPr>
          <w:iCs/>
          <w:sz w:val="26"/>
          <w:szCs w:val="26"/>
        </w:rPr>
        <w:t>;</w:t>
      </w:r>
    </w:p>
    <w:p w:rsidR="00427B6D" w:rsidRPr="00820D8C" w:rsidRDefault="00427B6D" w:rsidP="00820D8C">
      <w:pPr>
        <w:numPr>
          <w:ilvl w:val="0"/>
          <w:numId w:val="4"/>
        </w:numPr>
        <w:tabs>
          <w:tab w:val="left" w:pos="851"/>
          <w:tab w:val="left" w:pos="1080"/>
        </w:tabs>
        <w:ind w:left="0" w:firstLine="567"/>
        <w:jc w:val="both"/>
        <w:rPr>
          <w:sz w:val="26"/>
          <w:szCs w:val="26"/>
        </w:rPr>
      </w:pPr>
      <w:r w:rsidRPr="00754EA5">
        <w:rPr>
          <w:sz w:val="26"/>
          <w:szCs w:val="26"/>
        </w:rPr>
        <w:t xml:space="preserve">прогнозні показники акцизного податку з пального на 2026 рік визначені на основі прогнозних обсягів виробництва, імпорту та реалізації пального на 2026 рік з врахуванням поступового наближення ставок акцизного податку на пальне до рівня, </w:t>
      </w:r>
      <w:r w:rsidRPr="00820D8C">
        <w:rPr>
          <w:sz w:val="26"/>
          <w:szCs w:val="26"/>
        </w:rPr>
        <w:t>передбаченого директивами ЄС, відповідно до Закону України від 18.07.2024 № 3878-ІХ «Про внесення змін до Податкового кодексу України щодо імплементації положень актів права Європейського Союзу щодо акцизного податку»;</w:t>
      </w:r>
    </w:p>
    <w:p w:rsidR="00427B6D" w:rsidRPr="00820D8C" w:rsidRDefault="00427B6D" w:rsidP="00820D8C">
      <w:pPr>
        <w:numPr>
          <w:ilvl w:val="0"/>
          <w:numId w:val="4"/>
        </w:numPr>
        <w:tabs>
          <w:tab w:val="left" w:pos="851"/>
          <w:tab w:val="left" w:pos="1080"/>
        </w:tabs>
        <w:ind w:left="0" w:firstLine="567"/>
        <w:jc w:val="both"/>
        <w:rPr>
          <w:sz w:val="26"/>
          <w:szCs w:val="26"/>
        </w:rPr>
      </w:pPr>
      <w:r w:rsidRPr="00820D8C">
        <w:rPr>
          <w:sz w:val="26"/>
          <w:szCs w:val="26"/>
        </w:rPr>
        <w:t xml:space="preserve"> зарахування акцизного податку з тютюнових виробів, тютюну та промислових замінників тютюну, рідин, що використовуються в електронних сигаретах, до місцевих бюджетів;</w:t>
      </w:r>
    </w:p>
    <w:p w:rsidR="00427B6D" w:rsidRPr="00820D8C" w:rsidRDefault="00427B6D" w:rsidP="00820D8C">
      <w:pPr>
        <w:pStyle w:val="a5"/>
        <w:numPr>
          <w:ilvl w:val="0"/>
          <w:numId w:val="4"/>
        </w:numPr>
        <w:tabs>
          <w:tab w:val="left" w:pos="0"/>
          <w:tab w:val="left" w:pos="851"/>
        </w:tabs>
        <w:suppressAutoHyphens/>
        <w:spacing w:line="252" w:lineRule="auto"/>
        <w:ind w:left="0" w:firstLine="567"/>
        <w:jc w:val="both"/>
        <w:rPr>
          <w:rFonts w:ascii="Times New Roman" w:hAnsi="Times New Roman" w:cs="Times New Roman"/>
          <w:sz w:val="26"/>
          <w:szCs w:val="26"/>
        </w:rPr>
      </w:pPr>
      <w:r w:rsidRPr="00820D8C">
        <w:rPr>
          <w:rFonts w:ascii="Times New Roman" w:hAnsi="Times New Roman" w:cs="Times New Roman"/>
          <w:sz w:val="26"/>
          <w:szCs w:val="26"/>
        </w:rPr>
        <w:t>фактичні надходження податків та зборів, зокрема за 2024 рік, очікувані показники на 2025 рік та прогнозні на 2026 рік, надані ГУ ДПС у Сумській області.</w:t>
      </w:r>
    </w:p>
    <w:p w:rsidR="00427B6D" w:rsidRPr="00D71B85" w:rsidRDefault="00427B6D" w:rsidP="00427B6D">
      <w:pPr>
        <w:tabs>
          <w:tab w:val="left" w:pos="1134"/>
        </w:tabs>
        <w:jc w:val="both"/>
        <w:rPr>
          <w:szCs w:val="28"/>
        </w:rPr>
      </w:pPr>
    </w:p>
    <w:p w:rsidR="00427B6D" w:rsidRPr="00D71B85" w:rsidRDefault="00427B6D" w:rsidP="00427B6D">
      <w:pPr>
        <w:tabs>
          <w:tab w:val="left" w:pos="1134"/>
        </w:tabs>
        <w:jc w:val="both"/>
        <w:rPr>
          <w:b/>
          <w:bCs/>
          <w:sz w:val="16"/>
          <w:lang w:eastAsia="zh-CN"/>
        </w:rPr>
      </w:pPr>
      <w:r w:rsidRPr="00D71B85">
        <w:rPr>
          <w:szCs w:val="28"/>
        </w:rPr>
        <w:tab/>
      </w:r>
    </w:p>
    <w:p w:rsidR="00427B6D" w:rsidRPr="00D71B85" w:rsidRDefault="00427B6D" w:rsidP="00427B6D">
      <w:pPr>
        <w:suppressAutoHyphens/>
        <w:ind w:firstLine="709"/>
        <w:jc w:val="both"/>
        <w:rPr>
          <w:b/>
          <w:bCs/>
          <w:sz w:val="16"/>
          <w:lang w:eastAsia="zh-CN"/>
        </w:rPr>
      </w:pPr>
    </w:p>
    <w:p w:rsidR="00427B6D" w:rsidRPr="00D71B85" w:rsidRDefault="00427B6D" w:rsidP="00427B6D">
      <w:pPr>
        <w:suppressAutoHyphens/>
        <w:jc w:val="both"/>
        <w:rPr>
          <w:b/>
          <w:bCs/>
          <w:sz w:val="16"/>
          <w:highlight w:val="yellow"/>
          <w:lang w:eastAsia="zh-CN"/>
        </w:rPr>
      </w:pPr>
      <w:r>
        <w:rPr>
          <w:b/>
          <w:bCs/>
          <w:noProof/>
          <w:sz w:val="16"/>
          <w:highlight w:val="yellow"/>
          <w:lang w:val="ru-RU"/>
        </w:rPr>
        <w:drawing>
          <wp:inline distT="0" distB="0" distL="0" distR="0" wp14:anchorId="1F5C9DE7" wp14:editId="3F226110">
            <wp:extent cx="6096635"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427B6D" w:rsidRPr="00D71B85" w:rsidRDefault="00427B6D" w:rsidP="00427B6D">
      <w:pPr>
        <w:autoSpaceDE w:val="0"/>
        <w:autoSpaceDN w:val="0"/>
        <w:adjustRightInd w:val="0"/>
        <w:jc w:val="center"/>
        <w:rPr>
          <w:b/>
          <w:bCs/>
          <w:szCs w:val="28"/>
        </w:rPr>
      </w:pPr>
    </w:p>
    <w:p w:rsidR="00427B6D" w:rsidRPr="00D71B85" w:rsidRDefault="00427B6D" w:rsidP="00427B6D">
      <w:pPr>
        <w:autoSpaceDE w:val="0"/>
        <w:autoSpaceDN w:val="0"/>
        <w:adjustRightInd w:val="0"/>
        <w:jc w:val="center"/>
        <w:rPr>
          <w:b/>
          <w:bCs/>
          <w:szCs w:val="28"/>
        </w:rPr>
      </w:pPr>
    </w:p>
    <w:p w:rsidR="00427B6D" w:rsidRPr="00D71B85" w:rsidRDefault="00427B6D" w:rsidP="00427B6D">
      <w:pPr>
        <w:autoSpaceDE w:val="0"/>
        <w:autoSpaceDN w:val="0"/>
        <w:adjustRightInd w:val="0"/>
        <w:jc w:val="center"/>
        <w:rPr>
          <w:b/>
          <w:bCs/>
          <w:szCs w:val="28"/>
        </w:rPr>
      </w:pPr>
      <w:r>
        <w:rPr>
          <w:b/>
          <w:bCs/>
          <w:noProof/>
          <w:szCs w:val="28"/>
          <w:lang w:val="ru-RU"/>
        </w:rPr>
        <w:lastRenderedPageBreak/>
        <w:drawing>
          <wp:inline distT="0" distB="0" distL="0" distR="0" wp14:anchorId="24F27ADB" wp14:editId="055FE773">
            <wp:extent cx="6096635" cy="43529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635" cy="4352925"/>
                    </a:xfrm>
                    <a:prstGeom prst="rect">
                      <a:avLst/>
                    </a:prstGeom>
                    <a:noFill/>
                  </pic:spPr>
                </pic:pic>
              </a:graphicData>
            </a:graphic>
          </wp:inline>
        </w:drawing>
      </w:r>
    </w:p>
    <w:p w:rsidR="00427B6D" w:rsidRPr="00D71B85" w:rsidRDefault="00427B6D" w:rsidP="00427B6D">
      <w:pPr>
        <w:autoSpaceDE w:val="0"/>
        <w:autoSpaceDN w:val="0"/>
        <w:adjustRightInd w:val="0"/>
        <w:jc w:val="center"/>
        <w:rPr>
          <w:b/>
          <w:bCs/>
          <w:szCs w:val="28"/>
        </w:rPr>
      </w:pPr>
      <w:r w:rsidRPr="00D71B85">
        <w:rPr>
          <w:b/>
          <w:bCs/>
          <w:szCs w:val="28"/>
        </w:rPr>
        <w:t>Динаміка надходжень власних доходів загального фонду до бюджету Тростянецької міської територіальної громади</w:t>
      </w:r>
    </w:p>
    <w:p w:rsidR="00427B6D" w:rsidRPr="00D71B85" w:rsidRDefault="00427B6D" w:rsidP="00427B6D">
      <w:pPr>
        <w:autoSpaceDE w:val="0"/>
        <w:autoSpaceDN w:val="0"/>
        <w:adjustRightInd w:val="0"/>
        <w:ind w:firstLine="720"/>
        <w:jc w:val="right"/>
        <w:rPr>
          <w:b/>
          <w:bCs/>
          <w:sz w:val="20"/>
          <w:szCs w:val="20"/>
        </w:rPr>
      </w:pPr>
      <w:r w:rsidRPr="00D71B85">
        <w:rPr>
          <w:bCs/>
          <w:sz w:val="20"/>
          <w:szCs w:val="20"/>
        </w:rPr>
        <w:t>тис.</w:t>
      </w:r>
      <w:r w:rsidRPr="00D71B85">
        <w:rPr>
          <w:bCs/>
          <w:sz w:val="20"/>
          <w:szCs w:val="20"/>
          <w:lang w:val="ru-RU"/>
        </w:rPr>
        <w:t xml:space="preserve"> </w:t>
      </w:r>
      <w:r w:rsidRPr="00D71B85">
        <w:rPr>
          <w:bCs/>
          <w:sz w:val="20"/>
          <w:szCs w:val="20"/>
        </w:rPr>
        <w:t>гривень</w:t>
      </w:r>
    </w:p>
    <w:tbl>
      <w:tblPr>
        <w:tblW w:w="9777" w:type="dxa"/>
        <w:tblLook w:val="04A0" w:firstRow="1" w:lastRow="0" w:firstColumn="1" w:lastColumn="0" w:noHBand="0" w:noVBand="1"/>
      </w:tblPr>
      <w:tblGrid>
        <w:gridCol w:w="3114"/>
        <w:gridCol w:w="1418"/>
        <w:gridCol w:w="1558"/>
        <w:gridCol w:w="1560"/>
        <w:gridCol w:w="2127"/>
      </w:tblGrid>
      <w:tr w:rsidR="00427B6D" w:rsidTr="00820D8C">
        <w:trPr>
          <w:trHeight w:val="541"/>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jc w:val="both"/>
              <w:rPr>
                <w:b/>
                <w:bCs/>
                <w:color w:val="000000"/>
                <w:sz w:val="18"/>
                <w:szCs w:val="18"/>
                <w:lang w:val="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7B6D" w:rsidRPr="00820D8C" w:rsidRDefault="00427B6D" w:rsidP="00606BCD">
            <w:pPr>
              <w:jc w:val="center"/>
              <w:rPr>
                <w:b/>
                <w:bCs/>
                <w:color w:val="000000"/>
                <w:sz w:val="18"/>
                <w:szCs w:val="18"/>
              </w:rPr>
            </w:pPr>
            <w:r w:rsidRPr="00820D8C">
              <w:rPr>
                <w:b/>
                <w:bCs/>
                <w:color w:val="000000"/>
                <w:sz w:val="18"/>
                <w:szCs w:val="18"/>
                <w:lang w:eastAsia="uk-UA"/>
              </w:rPr>
              <w:t>Факт 2024 року</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427B6D" w:rsidRPr="00820D8C" w:rsidRDefault="00427B6D" w:rsidP="00606BCD">
            <w:pPr>
              <w:jc w:val="center"/>
              <w:rPr>
                <w:b/>
                <w:bCs/>
                <w:color w:val="000000"/>
                <w:sz w:val="18"/>
                <w:szCs w:val="18"/>
              </w:rPr>
            </w:pPr>
            <w:r w:rsidRPr="00820D8C">
              <w:rPr>
                <w:b/>
                <w:bCs/>
                <w:color w:val="000000"/>
                <w:sz w:val="18"/>
                <w:szCs w:val="18"/>
                <w:lang w:eastAsia="uk-UA"/>
              </w:rPr>
              <w:t>Очікувані 2025 року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27B6D" w:rsidRPr="00820D8C" w:rsidRDefault="00427B6D" w:rsidP="00606BCD">
            <w:pPr>
              <w:jc w:val="center"/>
              <w:rPr>
                <w:b/>
                <w:bCs/>
                <w:color w:val="000000"/>
                <w:sz w:val="18"/>
                <w:szCs w:val="18"/>
              </w:rPr>
            </w:pPr>
            <w:r w:rsidRPr="00820D8C">
              <w:rPr>
                <w:b/>
                <w:bCs/>
                <w:color w:val="000000"/>
                <w:sz w:val="18"/>
                <w:szCs w:val="18"/>
                <w:lang w:eastAsia="uk-UA"/>
              </w:rPr>
              <w:t>Прогноз на 2026 рік</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427B6D" w:rsidRPr="00820D8C" w:rsidRDefault="00427B6D" w:rsidP="00606BCD">
            <w:pPr>
              <w:jc w:val="center"/>
              <w:rPr>
                <w:b/>
                <w:bCs/>
                <w:color w:val="000000"/>
                <w:sz w:val="18"/>
                <w:szCs w:val="18"/>
              </w:rPr>
            </w:pPr>
            <w:r w:rsidRPr="00820D8C">
              <w:rPr>
                <w:b/>
                <w:bCs/>
                <w:color w:val="000000"/>
                <w:sz w:val="18"/>
                <w:szCs w:val="18"/>
                <w:lang w:eastAsia="uk-UA"/>
              </w:rPr>
              <w:t>% зростання прогнозу на 2026 рік до очікуваних за 2025 рік</w:t>
            </w:r>
          </w:p>
        </w:tc>
      </w:tr>
      <w:tr w:rsidR="00427B6D" w:rsidTr="00820D8C">
        <w:trPr>
          <w:trHeight w:val="553"/>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jc w:val="both"/>
              <w:rPr>
                <w:b/>
                <w:bCs/>
                <w:color w:val="000000"/>
                <w:sz w:val="20"/>
                <w:szCs w:val="20"/>
              </w:rPr>
            </w:pPr>
            <w:r w:rsidRPr="00820D8C">
              <w:rPr>
                <w:b/>
                <w:bCs/>
                <w:color w:val="000000"/>
                <w:sz w:val="20"/>
                <w:szCs w:val="20"/>
                <w:lang w:eastAsia="uk-UA"/>
              </w:rPr>
              <w:t>Всього загальний фонд, у т.ч.:</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lang w:val="ru-RU"/>
              </w:rPr>
            </w:pPr>
            <w:r>
              <w:rPr>
                <w:b/>
                <w:bCs/>
                <w:color w:val="000000"/>
                <w:sz w:val="22"/>
                <w:szCs w:val="22"/>
              </w:rPr>
              <w:t>238 714,3</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279 171,8</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328 401,0</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117,6%</w:t>
            </w:r>
          </w:p>
        </w:tc>
      </w:tr>
      <w:tr w:rsidR="00427B6D" w:rsidTr="00820D8C">
        <w:trPr>
          <w:trHeight w:val="561"/>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jc w:val="both"/>
              <w:rPr>
                <w:color w:val="000000"/>
                <w:sz w:val="20"/>
                <w:szCs w:val="20"/>
              </w:rPr>
            </w:pPr>
            <w:r w:rsidRPr="00820D8C">
              <w:rPr>
                <w:bCs/>
                <w:color w:val="000000"/>
                <w:sz w:val="20"/>
                <w:szCs w:val="20"/>
                <w:lang w:eastAsia="uk-UA"/>
              </w:rPr>
              <w:t>Податок та збір на доходи фізичних осіб</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146 680,2</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168 985,7</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202 609,0</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119,9%</w:t>
            </w:r>
          </w:p>
        </w:tc>
      </w:tr>
      <w:tr w:rsidR="00427B6D" w:rsidTr="00820D8C">
        <w:trPr>
          <w:trHeight w:val="98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rPr>
                <w:color w:val="000000"/>
                <w:sz w:val="20"/>
                <w:szCs w:val="20"/>
              </w:rPr>
            </w:pPr>
            <w:r w:rsidRPr="00820D8C">
              <w:rPr>
                <w:bCs/>
                <w:color w:val="000000"/>
                <w:sz w:val="20"/>
                <w:szCs w:val="20"/>
                <w:lang w:eastAsia="uk-UA"/>
              </w:rPr>
              <w:t>Податок на прибуток підприємств та фінансових установ комунальної власності</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692,8</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795,8</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1 218,3</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153,1%</w:t>
            </w:r>
          </w:p>
        </w:tc>
      </w:tr>
      <w:tr w:rsidR="00427B6D" w:rsidTr="00820D8C">
        <w:trPr>
          <w:trHeight w:val="839"/>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rPr>
                <w:color w:val="000000"/>
                <w:sz w:val="20"/>
                <w:szCs w:val="20"/>
              </w:rPr>
            </w:pPr>
            <w:r w:rsidRPr="00820D8C">
              <w:rPr>
                <w:bCs/>
                <w:color w:val="000000"/>
                <w:sz w:val="20"/>
                <w:szCs w:val="20"/>
                <w:lang w:eastAsia="uk-UA"/>
              </w:rPr>
              <w:t>Рентна плата та плата за використання інших природних ресурсів</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4 635,4</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4 365,7</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4 820,0</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110,4%</w:t>
            </w:r>
          </w:p>
        </w:tc>
      </w:tr>
      <w:tr w:rsidR="00427B6D" w:rsidTr="00820D8C">
        <w:trPr>
          <w:trHeight w:val="553"/>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rPr>
                <w:color w:val="000000"/>
                <w:sz w:val="20"/>
                <w:szCs w:val="20"/>
              </w:rPr>
            </w:pPr>
            <w:r w:rsidRPr="00820D8C">
              <w:rPr>
                <w:bCs/>
                <w:color w:val="000000"/>
                <w:sz w:val="20"/>
                <w:szCs w:val="20"/>
                <w:lang w:eastAsia="uk-UA"/>
              </w:rPr>
              <w:t>Внутрішні податки на товари та послуги</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14 817,5</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20 520,0</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26 000,0</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126,7%</w:t>
            </w:r>
          </w:p>
        </w:tc>
      </w:tr>
      <w:tr w:rsidR="00427B6D" w:rsidTr="00820D8C">
        <w:trPr>
          <w:trHeight w:val="331"/>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jc w:val="both"/>
              <w:rPr>
                <w:color w:val="000000"/>
                <w:sz w:val="20"/>
                <w:szCs w:val="20"/>
              </w:rPr>
            </w:pPr>
            <w:r w:rsidRPr="00820D8C">
              <w:rPr>
                <w:bCs/>
                <w:color w:val="000000"/>
                <w:sz w:val="20"/>
                <w:szCs w:val="20"/>
                <w:lang w:eastAsia="uk-UA"/>
              </w:rPr>
              <w:t>Місцеві податки та збори</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68 434,3</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79 886,8</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89 369,3</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111,9%</w:t>
            </w:r>
          </w:p>
        </w:tc>
      </w:tr>
      <w:tr w:rsidR="00427B6D" w:rsidTr="00820D8C">
        <w:trPr>
          <w:trHeight w:val="562"/>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rPr>
                <w:color w:val="000000"/>
                <w:sz w:val="20"/>
                <w:szCs w:val="20"/>
              </w:rPr>
            </w:pPr>
            <w:r w:rsidRPr="00820D8C">
              <w:rPr>
                <w:bCs/>
                <w:color w:val="000000"/>
                <w:sz w:val="20"/>
                <w:szCs w:val="20"/>
                <w:lang w:eastAsia="uk-UA"/>
              </w:rPr>
              <w:t>Доходи від власності та підприємницької діяльності</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336,5</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1 752,6</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1 752,0</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100,0%</w:t>
            </w:r>
          </w:p>
        </w:tc>
      </w:tr>
      <w:tr w:rsidR="00427B6D" w:rsidTr="00820D8C">
        <w:trPr>
          <w:trHeight w:val="416"/>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jc w:val="both"/>
              <w:rPr>
                <w:color w:val="000000"/>
                <w:sz w:val="20"/>
                <w:szCs w:val="20"/>
              </w:rPr>
            </w:pPr>
            <w:r w:rsidRPr="00820D8C">
              <w:rPr>
                <w:bCs/>
                <w:color w:val="000000"/>
                <w:sz w:val="20"/>
                <w:szCs w:val="20"/>
                <w:lang w:eastAsia="uk-UA"/>
              </w:rPr>
              <w:t>Адміністративні збори та платежі</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2 021,4</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1 969,4</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2 197,4</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111,6%</w:t>
            </w:r>
          </w:p>
        </w:tc>
      </w:tr>
      <w:tr w:rsidR="00427B6D" w:rsidTr="00820D8C">
        <w:trPr>
          <w:trHeight w:val="421"/>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jc w:val="both"/>
              <w:rPr>
                <w:color w:val="000000"/>
                <w:sz w:val="20"/>
                <w:szCs w:val="20"/>
              </w:rPr>
            </w:pPr>
            <w:r w:rsidRPr="00820D8C">
              <w:rPr>
                <w:bCs/>
                <w:color w:val="000000"/>
                <w:sz w:val="20"/>
                <w:szCs w:val="20"/>
                <w:lang w:eastAsia="uk-UA"/>
              </w:rPr>
              <w:t>Інші надходження</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1 130,2</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403,1</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435,0</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b/>
                <w:bCs/>
                <w:color w:val="000000"/>
                <w:sz w:val="22"/>
                <w:szCs w:val="22"/>
              </w:rPr>
            </w:pPr>
            <w:r>
              <w:rPr>
                <w:b/>
                <w:bCs/>
                <w:color w:val="000000"/>
                <w:sz w:val="22"/>
                <w:szCs w:val="22"/>
              </w:rPr>
              <w:t>107,9%</w:t>
            </w:r>
          </w:p>
        </w:tc>
      </w:tr>
      <w:tr w:rsidR="00427B6D" w:rsidTr="00103DCC">
        <w:trPr>
          <w:trHeight w:val="413"/>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427B6D" w:rsidRPr="00820D8C" w:rsidRDefault="00427B6D" w:rsidP="00606BCD">
            <w:pPr>
              <w:jc w:val="both"/>
              <w:rPr>
                <w:color w:val="000000"/>
                <w:sz w:val="20"/>
                <w:szCs w:val="20"/>
              </w:rPr>
            </w:pPr>
            <w:r w:rsidRPr="00820D8C">
              <w:rPr>
                <w:bCs/>
                <w:color w:val="000000"/>
                <w:sz w:val="20"/>
                <w:szCs w:val="20"/>
                <w:lang w:eastAsia="uk-UA"/>
              </w:rPr>
              <w:t>Доходи від операцій з капіталом</w:t>
            </w:r>
          </w:p>
        </w:tc>
        <w:tc>
          <w:tcPr>
            <w:tcW w:w="141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0,0</w:t>
            </w:r>
          </w:p>
        </w:tc>
        <w:tc>
          <w:tcPr>
            <w:tcW w:w="1558"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492,7</w:t>
            </w:r>
          </w:p>
        </w:tc>
        <w:tc>
          <w:tcPr>
            <w:tcW w:w="1560"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0,0</w:t>
            </w:r>
          </w:p>
        </w:tc>
        <w:tc>
          <w:tcPr>
            <w:tcW w:w="2127" w:type="dxa"/>
            <w:tcBorders>
              <w:top w:val="nil"/>
              <w:left w:val="nil"/>
              <w:bottom w:val="single" w:sz="4" w:space="0" w:color="auto"/>
              <w:right w:val="single" w:sz="4" w:space="0" w:color="auto"/>
            </w:tcBorders>
            <w:shd w:val="clear" w:color="auto" w:fill="auto"/>
            <w:vAlign w:val="center"/>
            <w:hideMark/>
          </w:tcPr>
          <w:p w:rsidR="00427B6D" w:rsidRDefault="00427B6D" w:rsidP="00606BCD">
            <w:pPr>
              <w:jc w:val="center"/>
              <w:rPr>
                <w:color w:val="000000"/>
                <w:sz w:val="22"/>
                <w:szCs w:val="22"/>
              </w:rPr>
            </w:pPr>
            <w:r>
              <w:rPr>
                <w:color w:val="000000"/>
                <w:sz w:val="22"/>
                <w:szCs w:val="22"/>
              </w:rPr>
              <w:t>0,0%</w:t>
            </w:r>
          </w:p>
        </w:tc>
      </w:tr>
    </w:tbl>
    <w:p w:rsidR="00427B6D" w:rsidRPr="00754EA5" w:rsidRDefault="00427B6D" w:rsidP="00820D8C">
      <w:pPr>
        <w:tabs>
          <w:tab w:val="left" w:pos="0"/>
        </w:tabs>
        <w:ind w:firstLine="567"/>
        <w:jc w:val="both"/>
        <w:rPr>
          <w:sz w:val="26"/>
          <w:szCs w:val="26"/>
        </w:rPr>
      </w:pPr>
      <w:r w:rsidRPr="00754EA5">
        <w:rPr>
          <w:sz w:val="26"/>
          <w:szCs w:val="26"/>
        </w:rPr>
        <w:lastRenderedPageBreak/>
        <w:t>Власні доходи бюджету Тростянецької МТГ обраховано в сумі 333 272,2 тис. гривень, в тому числі:</w:t>
      </w:r>
    </w:p>
    <w:p w:rsidR="00427B6D" w:rsidRPr="00754EA5" w:rsidRDefault="00427B6D" w:rsidP="00820D8C">
      <w:pPr>
        <w:pStyle w:val="a5"/>
        <w:numPr>
          <w:ilvl w:val="0"/>
          <w:numId w:val="5"/>
        </w:numPr>
        <w:tabs>
          <w:tab w:val="left" w:pos="0"/>
        </w:tabs>
        <w:ind w:left="0" w:firstLine="567"/>
        <w:jc w:val="both"/>
        <w:rPr>
          <w:sz w:val="26"/>
          <w:szCs w:val="26"/>
        </w:rPr>
      </w:pPr>
      <w:r w:rsidRPr="00754EA5">
        <w:rPr>
          <w:sz w:val="26"/>
          <w:szCs w:val="26"/>
        </w:rPr>
        <w:t>загальний фонд – 328 401,0 тис. гривень;</w:t>
      </w:r>
    </w:p>
    <w:p w:rsidR="00427B6D" w:rsidRPr="00754EA5" w:rsidRDefault="00427B6D" w:rsidP="00820D8C">
      <w:pPr>
        <w:pStyle w:val="a5"/>
        <w:numPr>
          <w:ilvl w:val="0"/>
          <w:numId w:val="5"/>
        </w:numPr>
        <w:tabs>
          <w:tab w:val="left" w:pos="0"/>
        </w:tabs>
        <w:ind w:left="0" w:firstLine="567"/>
        <w:jc w:val="both"/>
        <w:rPr>
          <w:sz w:val="26"/>
          <w:szCs w:val="26"/>
        </w:rPr>
      </w:pPr>
      <w:r w:rsidRPr="00754EA5">
        <w:rPr>
          <w:sz w:val="26"/>
          <w:szCs w:val="26"/>
        </w:rPr>
        <w:t>спеціальному фонду – 4 871,2 тис. гривень.</w:t>
      </w:r>
    </w:p>
    <w:p w:rsidR="00427B6D" w:rsidRDefault="00427B6D" w:rsidP="00427B6D">
      <w:pPr>
        <w:tabs>
          <w:tab w:val="left" w:pos="0"/>
        </w:tabs>
        <w:rPr>
          <w:b/>
          <w:szCs w:val="28"/>
        </w:rPr>
      </w:pPr>
    </w:p>
    <w:p w:rsidR="00427B6D" w:rsidRDefault="00427B6D" w:rsidP="00427B6D">
      <w:pPr>
        <w:tabs>
          <w:tab w:val="left" w:pos="0"/>
        </w:tabs>
        <w:jc w:val="center"/>
        <w:rPr>
          <w:b/>
          <w:szCs w:val="28"/>
        </w:rPr>
      </w:pPr>
      <w:r>
        <w:rPr>
          <w:b/>
          <w:szCs w:val="28"/>
        </w:rPr>
        <w:t>ЗАГАЛЬНИЙ ФОНД</w:t>
      </w:r>
    </w:p>
    <w:p w:rsidR="00427B6D" w:rsidRDefault="00427B6D" w:rsidP="00427B6D">
      <w:pPr>
        <w:tabs>
          <w:tab w:val="left" w:pos="0"/>
        </w:tabs>
        <w:jc w:val="center"/>
        <w:rPr>
          <w:b/>
          <w:szCs w:val="28"/>
        </w:rPr>
      </w:pPr>
    </w:p>
    <w:p w:rsidR="00427B6D" w:rsidRDefault="00427B6D" w:rsidP="00427B6D">
      <w:pPr>
        <w:tabs>
          <w:tab w:val="left" w:pos="0"/>
        </w:tabs>
        <w:jc w:val="center"/>
        <w:rPr>
          <w:b/>
          <w:szCs w:val="28"/>
        </w:rPr>
      </w:pPr>
      <w:r>
        <w:rPr>
          <w:b/>
          <w:szCs w:val="28"/>
        </w:rPr>
        <w:t>«Податок на доходи фізичних осіб»</w:t>
      </w:r>
    </w:p>
    <w:p w:rsidR="00427B6D" w:rsidRPr="00754EA5" w:rsidRDefault="00427B6D" w:rsidP="00103DCC">
      <w:pPr>
        <w:tabs>
          <w:tab w:val="left" w:pos="0"/>
        </w:tabs>
        <w:ind w:firstLine="567"/>
        <w:jc w:val="both"/>
        <w:rPr>
          <w:sz w:val="26"/>
          <w:szCs w:val="26"/>
        </w:rPr>
      </w:pPr>
      <w:r w:rsidRPr="00754EA5">
        <w:rPr>
          <w:sz w:val="26"/>
          <w:szCs w:val="26"/>
        </w:rPr>
        <w:t xml:space="preserve">Основним джерелом надходжень загального фонду бюджету Тростянецької міської територіальної громади є податок на доходи фізичних осіб, що в структурі власних доходів займає 61,7%. </w:t>
      </w:r>
    </w:p>
    <w:p w:rsidR="00103DCC" w:rsidRDefault="00103DCC" w:rsidP="00103DCC">
      <w:pPr>
        <w:tabs>
          <w:tab w:val="left" w:pos="709"/>
        </w:tabs>
        <w:ind w:firstLine="567"/>
        <w:jc w:val="both"/>
        <w:rPr>
          <w:bCs/>
          <w:sz w:val="26"/>
          <w:szCs w:val="26"/>
        </w:rPr>
      </w:pPr>
    </w:p>
    <w:p w:rsidR="00427B6D" w:rsidRPr="00754EA5" w:rsidRDefault="00427B6D" w:rsidP="00103DCC">
      <w:pPr>
        <w:tabs>
          <w:tab w:val="left" w:pos="709"/>
        </w:tabs>
        <w:ind w:firstLine="567"/>
        <w:jc w:val="both"/>
        <w:rPr>
          <w:bCs/>
          <w:sz w:val="26"/>
          <w:szCs w:val="26"/>
        </w:rPr>
      </w:pPr>
      <w:r w:rsidRPr="00754EA5">
        <w:rPr>
          <w:bCs/>
          <w:sz w:val="26"/>
          <w:szCs w:val="26"/>
        </w:rPr>
        <w:t>При обрахунку були враховані норми Розділу IV «Податок на доходи фізичних осіб» Податкового кодексу України, які впливають на надходження податку на доходи фізичних осіб, а саме:</w:t>
      </w:r>
    </w:p>
    <w:p w:rsidR="00427B6D" w:rsidRPr="00754EA5" w:rsidRDefault="00427B6D" w:rsidP="00103DCC">
      <w:pPr>
        <w:ind w:firstLine="567"/>
        <w:jc w:val="both"/>
        <w:rPr>
          <w:bCs/>
          <w:sz w:val="26"/>
          <w:szCs w:val="26"/>
        </w:rPr>
      </w:pPr>
      <w:r w:rsidRPr="00754EA5">
        <w:rPr>
          <w:bCs/>
          <w:i/>
          <w:sz w:val="26"/>
          <w:szCs w:val="26"/>
        </w:rPr>
        <w:t>- застосування єдиної ставки (18 %)</w:t>
      </w:r>
      <w:r w:rsidRPr="00754EA5">
        <w:rPr>
          <w:bCs/>
          <w:sz w:val="26"/>
          <w:szCs w:val="26"/>
        </w:rPr>
        <w:t xml:space="preserve"> оподаткування доходів фізичних осіб;</w:t>
      </w:r>
    </w:p>
    <w:p w:rsidR="00427B6D" w:rsidRPr="00754EA5" w:rsidRDefault="00427B6D" w:rsidP="00103DCC">
      <w:pPr>
        <w:ind w:firstLine="567"/>
        <w:jc w:val="both"/>
        <w:rPr>
          <w:bCs/>
          <w:i/>
          <w:sz w:val="26"/>
          <w:szCs w:val="26"/>
        </w:rPr>
      </w:pPr>
      <w:r w:rsidRPr="00754EA5">
        <w:rPr>
          <w:bCs/>
          <w:i/>
          <w:sz w:val="26"/>
          <w:szCs w:val="26"/>
        </w:rPr>
        <w:t>- зростання основних державних соціальних стандартів та гарантій, зокрема:</w:t>
      </w:r>
    </w:p>
    <w:p w:rsidR="00103DCC" w:rsidRDefault="00103DCC" w:rsidP="00103DCC">
      <w:pPr>
        <w:ind w:firstLine="567"/>
        <w:jc w:val="both"/>
        <w:rPr>
          <w:bCs/>
          <w:sz w:val="26"/>
          <w:szCs w:val="26"/>
        </w:rPr>
      </w:pPr>
    </w:p>
    <w:p w:rsidR="00427B6D" w:rsidRPr="00754EA5" w:rsidRDefault="00427B6D" w:rsidP="00103DCC">
      <w:pPr>
        <w:ind w:firstLine="567"/>
        <w:jc w:val="both"/>
        <w:rPr>
          <w:bCs/>
          <w:sz w:val="26"/>
          <w:szCs w:val="26"/>
        </w:rPr>
      </w:pPr>
      <w:r w:rsidRPr="00754EA5">
        <w:rPr>
          <w:bCs/>
          <w:sz w:val="26"/>
          <w:szCs w:val="26"/>
        </w:rPr>
        <w:t>Мінімальної заробітної плати:</w:t>
      </w:r>
    </w:p>
    <w:p w:rsidR="00427B6D" w:rsidRDefault="00427B6D" w:rsidP="00427B6D">
      <w:pPr>
        <w:ind w:firstLine="709"/>
        <w:jc w:val="center"/>
        <w:rPr>
          <w:bCs/>
          <w:sz w:val="14"/>
          <w:szCs w:val="28"/>
        </w:rPr>
      </w:pPr>
    </w:p>
    <w:tbl>
      <w:tblPr>
        <w:tblW w:w="9498" w:type="dxa"/>
        <w:tblInd w:w="-5" w:type="dxa"/>
        <w:tblLayout w:type="fixed"/>
        <w:tblLook w:val="04A0" w:firstRow="1" w:lastRow="0" w:firstColumn="1" w:lastColumn="0" w:noHBand="0" w:noVBand="1"/>
      </w:tblPr>
      <w:tblGrid>
        <w:gridCol w:w="4536"/>
        <w:gridCol w:w="1418"/>
        <w:gridCol w:w="1701"/>
        <w:gridCol w:w="1843"/>
      </w:tblGrid>
      <w:tr w:rsidR="00427B6D" w:rsidTr="00606BCD">
        <w:trPr>
          <w:tblHeader/>
        </w:trPr>
        <w:tc>
          <w:tcPr>
            <w:tcW w:w="4536"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b/>
                <w:bCs/>
                <w:sz w:val="24"/>
                <w:lang w:eastAsia="en-US"/>
              </w:rPr>
              <w:t>Показники</w:t>
            </w:r>
          </w:p>
        </w:tc>
        <w:tc>
          <w:tcPr>
            <w:tcW w:w="1418"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b/>
                <w:bCs/>
                <w:sz w:val="24"/>
                <w:lang w:eastAsia="en-US"/>
              </w:rPr>
              <w:t>2024 рік</w:t>
            </w:r>
          </w:p>
        </w:tc>
        <w:tc>
          <w:tcPr>
            <w:tcW w:w="1701"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b/>
                <w:bCs/>
                <w:sz w:val="24"/>
                <w:lang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b/>
                <w:bCs/>
                <w:sz w:val="24"/>
                <w:lang w:eastAsia="en-US"/>
              </w:rPr>
              <w:t>2026 рік</w:t>
            </w:r>
          </w:p>
        </w:tc>
      </w:tr>
      <w:tr w:rsidR="00427B6D" w:rsidTr="00606BCD">
        <w:tc>
          <w:tcPr>
            <w:tcW w:w="9498" w:type="dxa"/>
            <w:gridSpan w:val="4"/>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b/>
                <w:bCs/>
                <w:sz w:val="24"/>
                <w:lang w:eastAsia="en-US"/>
              </w:rPr>
              <w:t>Розмір мінімальної заробітної плати</w:t>
            </w:r>
          </w:p>
        </w:tc>
      </w:tr>
      <w:tr w:rsidR="00427B6D" w:rsidTr="00606BCD">
        <w:tc>
          <w:tcPr>
            <w:tcW w:w="4536"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both"/>
              <w:rPr>
                <w:sz w:val="24"/>
                <w:lang w:eastAsia="en-US"/>
              </w:rPr>
            </w:pPr>
            <w:r>
              <w:rPr>
                <w:bCs/>
                <w:sz w:val="24"/>
                <w:lang w:eastAsia="en-US"/>
              </w:rPr>
              <w:t>З 1 січня року (грн)</w:t>
            </w:r>
          </w:p>
        </w:tc>
        <w:tc>
          <w:tcPr>
            <w:tcW w:w="1418"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bCs/>
                <w:sz w:val="24"/>
                <w:lang w:eastAsia="en-US"/>
              </w:rPr>
              <w:t>7 100</w:t>
            </w:r>
          </w:p>
        </w:tc>
        <w:tc>
          <w:tcPr>
            <w:tcW w:w="1701" w:type="dxa"/>
            <w:tcBorders>
              <w:top w:val="single" w:sz="4" w:space="0" w:color="auto"/>
              <w:left w:val="single" w:sz="4" w:space="0" w:color="auto"/>
              <w:bottom w:val="single" w:sz="4" w:space="0" w:color="auto"/>
              <w:right w:val="single" w:sz="4" w:space="0" w:color="auto"/>
            </w:tcBorders>
          </w:tcPr>
          <w:p w:rsidR="00427B6D" w:rsidRDefault="00427B6D" w:rsidP="00606BCD">
            <w:pPr>
              <w:spacing w:line="256" w:lineRule="auto"/>
              <w:jc w:val="center"/>
              <w:rPr>
                <w:sz w:val="24"/>
                <w:lang w:eastAsia="en-US"/>
              </w:rPr>
            </w:pPr>
            <w:r>
              <w:rPr>
                <w:sz w:val="24"/>
                <w:lang w:eastAsia="en-US"/>
              </w:rPr>
              <w:t>8 000</w:t>
            </w:r>
          </w:p>
        </w:tc>
        <w:tc>
          <w:tcPr>
            <w:tcW w:w="1843"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sz w:val="24"/>
                <w:lang w:eastAsia="en-US"/>
              </w:rPr>
              <w:t xml:space="preserve">8 647 </w:t>
            </w:r>
          </w:p>
        </w:tc>
      </w:tr>
      <w:tr w:rsidR="00427B6D" w:rsidTr="00606BCD">
        <w:tc>
          <w:tcPr>
            <w:tcW w:w="4536"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both"/>
              <w:rPr>
                <w:bCs/>
                <w:sz w:val="24"/>
                <w:lang w:eastAsia="en-US"/>
              </w:rPr>
            </w:pPr>
            <w:r>
              <w:rPr>
                <w:sz w:val="24"/>
                <w:lang w:eastAsia="en-US"/>
              </w:rPr>
              <w:t>З 1 квітня року (грн)</w:t>
            </w:r>
          </w:p>
        </w:tc>
        <w:tc>
          <w:tcPr>
            <w:tcW w:w="1418"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bCs/>
                <w:sz w:val="24"/>
                <w:lang w:eastAsia="en-US"/>
              </w:rPr>
            </w:pPr>
            <w:r>
              <w:rPr>
                <w:bCs/>
                <w:sz w:val="24"/>
                <w:lang w:eastAsia="en-US"/>
              </w:rPr>
              <w:t>8 000</w:t>
            </w:r>
          </w:p>
        </w:tc>
        <w:tc>
          <w:tcPr>
            <w:tcW w:w="1701" w:type="dxa"/>
            <w:tcBorders>
              <w:top w:val="single" w:sz="4" w:space="0" w:color="auto"/>
              <w:left w:val="single" w:sz="4" w:space="0" w:color="auto"/>
              <w:bottom w:val="single" w:sz="4" w:space="0" w:color="auto"/>
              <w:right w:val="single" w:sz="4" w:space="0" w:color="auto"/>
            </w:tcBorders>
          </w:tcPr>
          <w:p w:rsidR="00427B6D" w:rsidRDefault="00427B6D" w:rsidP="00606BCD">
            <w:pPr>
              <w:spacing w:line="256" w:lineRule="auto"/>
              <w:jc w:val="center"/>
              <w:rPr>
                <w:bCs/>
                <w:sz w:val="24"/>
                <w:lang w:eastAsia="en-US"/>
              </w:rPr>
            </w:pPr>
            <w:r>
              <w:rPr>
                <w:bCs/>
                <w:sz w:val="24"/>
                <w:lang w:eastAsia="en-US"/>
              </w:rPr>
              <w:t>Х</w:t>
            </w:r>
          </w:p>
        </w:tc>
        <w:tc>
          <w:tcPr>
            <w:tcW w:w="1843" w:type="dxa"/>
            <w:tcBorders>
              <w:top w:val="single" w:sz="4" w:space="0" w:color="auto"/>
              <w:left w:val="single" w:sz="4" w:space="0" w:color="auto"/>
              <w:bottom w:val="single" w:sz="4" w:space="0" w:color="auto"/>
              <w:right w:val="single" w:sz="4" w:space="0" w:color="auto"/>
            </w:tcBorders>
            <w:hideMark/>
          </w:tcPr>
          <w:p w:rsidR="00427B6D" w:rsidRDefault="00427B6D" w:rsidP="00606BCD">
            <w:pPr>
              <w:spacing w:line="256" w:lineRule="auto"/>
              <w:jc w:val="center"/>
              <w:rPr>
                <w:sz w:val="24"/>
                <w:lang w:eastAsia="en-US"/>
              </w:rPr>
            </w:pPr>
            <w:r>
              <w:rPr>
                <w:sz w:val="24"/>
                <w:lang w:eastAsia="en-US"/>
              </w:rPr>
              <w:t>х</w:t>
            </w:r>
          </w:p>
        </w:tc>
      </w:tr>
    </w:tbl>
    <w:p w:rsidR="00427B6D" w:rsidRDefault="00427B6D" w:rsidP="00427B6D">
      <w:pPr>
        <w:ind w:left="430" w:hanging="430"/>
        <w:jc w:val="center"/>
        <w:rPr>
          <w:b/>
          <w:bCs/>
          <w:sz w:val="14"/>
          <w:szCs w:val="28"/>
          <w:lang w:eastAsia="en-US"/>
        </w:rPr>
      </w:pPr>
    </w:p>
    <w:p w:rsidR="00427B6D" w:rsidRPr="00103DCC" w:rsidRDefault="00427B6D" w:rsidP="00103DCC">
      <w:pPr>
        <w:ind w:firstLine="567"/>
        <w:jc w:val="both"/>
        <w:rPr>
          <w:bCs/>
          <w:sz w:val="26"/>
          <w:szCs w:val="26"/>
        </w:rPr>
      </w:pPr>
      <w:r w:rsidRPr="00103DCC">
        <w:rPr>
          <w:bCs/>
          <w:sz w:val="26"/>
          <w:szCs w:val="26"/>
        </w:rPr>
        <w:t>Прожиткового мінімуму для працездатних осіб та посадового окладу працівника І тарифного розряду Єдиної тарифної сітки:</w:t>
      </w:r>
    </w:p>
    <w:p w:rsidR="00427B6D" w:rsidRDefault="00427B6D" w:rsidP="00427B6D">
      <w:pPr>
        <w:ind w:firstLine="709"/>
        <w:jc w:val="both"/>
        <w:rPr>
          <w:bCs/>
          <w:sz w:val="14"/>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559"/>
        <w:gridCol w:w="1701"/>
        <w:gridCol w:w="1843"/>
      </w:tblGrid>
      <w:tr w:rsidR="00427B6D" w:rsidTr="00606BCD">
        <w:trPr>
          <w:tblHeader/>
        </w:trPr>
        <w:tc>
          <w:tcPr>
            <w:tcW w:w="4395" w:type="dxa"/>
            <w:hideMark/>
          </w:tcPr>
          <w:p w:rsidR="00427B6D" w:rsidRDefault="00427B6D" w:rsidP="00606BCD">
            <w:pPr>
              <w:spacing w:line="256" w:lineRule="auto"/>
              <w:jc w:val="center"/>
              <w:rPr>
                <w:sz w:val="24"/>
                <w:lang w:eastAsia="en-US"/>
              </w:rPr>
            </w:pPr>
            <w:r>
              <w:rPr>
                <w:b/>
                <w:bCs/>
                <w:sz w:val="24"/>
                <w:lang w:eastAsia="en-US"/>
              </w:rPr>
              <w:t>Показники</w:t>
            </w:r>
          </w:p>
        </w:tc>
        <w:tc>
          <w:tcPr>
            <w:tcW w:w="1559" w:type="dxa"/>
            <w:hideMark/>
          </w:tcPr>
          <w:p w:rsidR="00427B6D" w:rsidRDefault="00427B6D" w:rsidP="00606BCD">
            <w:pPr>
              <w:spacing w:line="256" w:lineRule="auto"/>
              <w:jc w:val="center"/>
              <w:rPr>
                <w:sz w:val="24"/>
                <w:lang w:eastAsia="en-US"/>
              </w:rPr>
            </w:pPr>
            <w:r>
              <w:rPr>
                <w:b/>
                <w:bCs/>
                <w:sz w:val="24"/>
                <w:lang w:eastAsia="en-US"/>
              </w:rPr>
              <w:t>2024 рік</w:t>
            </w:r>
          </w:p>
        </w:tc>
        <w:tc>
          <w:tcPr>
            <w:tcW w:w="1701" w:type="dxa"/>
            <w:hideMark/>
          </w:tcPr>
          <w:p w:rsidR="00427B6D" w:rsidRDefault="00427B6D" w:rsidP="00606BCD">
            <w:pPr>
              <w:spacing w:line="256" w:lineRule="auto"/>
              <w:jc w:val="center"/>
              <w:rPr>
                <w:sz w:val="24"/>
                <w:lang w:eastAsia="en-US"/>
              </w:rPr>
            </w:pPr>
            <w:r>
              <w:rPr>
                <w:b/>
                <w:bCs/>
                <w:sz w:val="24"/>
                <w:lang w:eastAsia="en-US"/>
              </w:rPr>
              <w:t>2025 рік</w:t>
            </w:r>
          </w:p>
        </w:tc>
        <w:tc>
          <w:tcPr>
            <w:tcW w:w="1843" w:type="dxa"/>
            <w:hideMark/>
          </w:tcPr>
          <w:p w:rsidR="00427B6D" w:rsidRDefault="00427B6D" w:rsidP="00606BCD">
            <w:pPr>
              <w:spacing w:line="256" w:lineRule="auto"/>
              <w:jc w:val="center"/>
              <w:rPr>
                <w:sz w:val="24"/>
                <w:lang w:eastAsia="en-US"/>
              </w:rPr>
            </w:pPr>
            <w:r>
              <w:rPr>
                <w:b/>
                <w:bCs/>
                <w:sz w:val="24"/>
                <w:lang w:eastAsia="en-US"/>
              </w:rPr>
              <w:t>2026 рік</w:t>
            </w:r>
          </w:p>
        </w:tc>
      </w:tr>
      <w:tr w:rsidR="00427B6D" w:rsidTr="00606BCD">
        <w:tc>
          <w:tcPr>
            <w:tcW w:w="4395" w:type="dxa"/>
            <w:hideMark/>
          </w:tcPr>
          <w:p w:rsidR="00427B6D" w:rsidRDefault="00427B6D" w:rsidP="00606BCD">
            <w:pPr>
              <w:spacing w:line="256" w:lineRule="auto"/>
              <w:jc w:val="both"/>
              <w:rPr>
                <w:sz w:val="24"/>
                <w:lang w:eastAsia="en-US"/>
              </w:rPr>
            </w:pPr>
            <w:r>
              <w:rPr>
                <w:bCs/>
                <w:sz w:val="24"/>
                <w:lang w:eastAsia="en-US"/>
              </w:rPr>
              <w:t>З 1 січня року (грн)</w:t>
            </w:r>
          </w:p>
        </w:tc>
        <w:tc>
          <w:tcPr>
            <w:tcW w:w="1559" w:type="dxa"/>
            <w:hideMark/>
          </w:tcPr>
          <w:p w:rsidR="00427B6D" w:rsidRDefault="00427B6D" w:rsidP="00606BCD">
            <w:pPr>
              <w:spacing w:line="256" w:lineRule="auto"/>
              <w:jc w:val="center"/>
              <w:rPr>
                <w:sz w:val="24"/>
                <w:lang w:eastAsia="en-US"/>
              </w:rPr>
            </w:pPr>
            <w:r>
              <w:rPr>
                <w:sz w:val="24"/>
                <w:lang w:eastAsia="en-US"/>
              </w:rPr>
              <w:t>2 920</w:t>
            </w:r>
          </w:p>
        </w:tc>
        <w:tc>
          <w:tcPr>
            <w:tcW w:w="1701" w:type="dxa"/>
            <w:hideMark/>
          </w:tcPr>
          <w:p w:rsidR="00427B6D" w:rsidRDefault="00427B6D" w:rsidP="00606BCD">
            <w:pPr>
              <w:spacing w:line="256" w:lineRule="auto"/>
              <w:jc w:val="center"/>
              <w:rPr>
                <w:sz w:val="24"/>
                <w:lang w:eastAsia="en-US"/>
              </w:rPr>
            </w:pPr>
            <w:r>
              <w:rPr>
                <w:sz w:val="24"/>
                <w:lang w:eastAsia="en-US"/>
              </w:rPr>
              <w:t>2 920</w:t>
            </w:r>
          </w:p>
        </w:tc>
        <w:tc>
          <w:tcPr>
            <w:tcW w:w="1843" w:type="dxa"/>
            <w:hideMark/>
          </w:tcPr>
          <w:p w:rsidR="00427B6D" w:rsidRDefault="00427B6D" w:rsidP="00606BCD">
            <w:pPr>
              <w:spacing w:line="256" w:lineRule="auto"/>
              <w:jc w:val="center"/>
              <w:rPr>
                <w:sz w:val="24"/>
                <w:lang w:eastAsia="en-US"/>
              </w:rPr>
            </w:pPr>
            <w:r>
              <w:rPr>
                <w:sz w:val="24"/>
                <w:lang w:eastAsia="en-US"/>
              </w:rPr>
              <w:t>3 328</w:t>
            </w:r>
          </w:p>
        </w:tc>
      </w:tr>
      <w:tr w:rsidR="00427B6D" w:rsidTr="00606BCD">
        <w:tc>
          <w:tcPr>
            <w:tcW w:w="4395" w:type="dxa"/>
            <w:hideMark/>
          </w:tcPr>
          <w:p w:rsidR="00427B6D" w:rsidRDefault="00427B6D" w:rsidP="00606BCD">
            <w:pPr>
              <w:spacing w:line="256" w:lineRule="auto"/>
              <w:jc w:val="both"/>
              <w:rPr>
                <w:sz w:val="24"/>
                <w:lang w:eastAsia="en-US"/>
              </w:rPr>
            </w:pPr>
            <w:r>
              <w:rPr>
                <w:bCs/>
                <w:sz w:val="24"/>
                <w:lang w:eastAsia="en-US"/>
              </w:rPr>
              <w:t>Приріст до попереднього року (%)</w:t>
            </w:r>
          </w:p>
        </w:tc>
        <w:tc>
          <w:tcPr>
            <w:tcW w:w="1559" w:type="dxa"/>
            <w:vAlign w:val="center"/>
            <w:hideMark/>
          </w:tcPr>
          <w:p w:rsidR="00427B6D" w:rsidRDefault="00427B6D" w:rsidP="00606BCD">
            <w:pPr>
              <w:spacing w:line="256" w:lineRule="auto"/>
              <w:jc w:val="center"/>
              <w:rPr>
                <w:sz w:val="24"/>
                <w:lang w:eastAsia="en-US"/>
              </w:rPr>
            </w:pPr>
            <w:r>
              <w:rPr>
                <w:sz w:val="24"/>
                <w:lang w:eastAsia="en-US"/>
              </w:rPr>
              <w:t>+8,8</w:t>
            </w:r>
          </w:p>
        </w:tc>
        <w:tc>
          <w:tcPr>
            <w:tcW w:w="1701" w:type="dxa"/>
            <w:vAlign w:val="center"/>
            <w:hideMark/>
          </w:tcPr>
          <w:p w:rsidR="00427B6D" w:rsidRDefault="00427B6D" w:rsidP="00606BCD">
            <w:pPr>
              <w:spacing w:line="256" w:lineRule="auto"/>
              <w:jc w:val="center"/>
              <w:rPr>
                <w:sz w:val="24"/>
                <w:lang w:eastAsia="en-US"/>
              </w:rPr>
            </w:pPr>
            <w:r>
              <w:rPr>
                <w:sz w:val="24"/>
                <w:lang w:eastAsia="en-US"/>
              </w:rPr>
              <w:t>0</w:t>
            </w:r>
          </w:p>
        </w:tc>
        <w:tc>
          <w:tcPr>
            <w:tcW w:w="1843" w:type="dxa"/>
            <w:vAlign w:val="center"/>
            <w:hideMark/>
          </w:tcPr>
          <w:p w:rsidR="00427B6D" w:rsidRDefault="00427B6D" w:rsidP="00606BCD">
            <w:pPr>
              <w:spacing w:line="256" w:lineRule="auto"/>
              <w:jc w:val="center"/>
              <w:rPr>
                <w:sz w:val="24"/>
                <w:lang w:eastAsia="en-US"/>
              </w:rPr>
            </w:pPr>
            <w:r>
              <w:rPr>
                <w:sz w:val="24"/>
                <w:lang w:eastAsia="en-US"/>
              </w:rPr>
              <w:t>+14,0</w:t>
            </w:r>
          </w:p>
        </w:tc>
      </w:tr>
    </w:tbl>
    <w:p w:rsidR="00427B6D" w:rsidRPr="00754EA5" w:rsidRDefault="00427B6D" w:rsidP="00427B6D">
      <w:pPr>
        <w:ind w:firstLine="709"/>
        <w:jc w:val="both"/>
        <w:rPr>
          <w:bCs/>
          <w:sz w:val="26"/>
          <w:szCs w:val="26"/>
        </w:rPr>
      </w:pPr>
    </w:p>
    <w:p w:rsidR="00427B6D" w:rsidRPr="00754EA5" w:rsidRDefault="00427B6D" w:rsidP="00103DCC">
      <w:pPr>
        <w:pStyle w:val="a5"/>
        <w:numPr>
          <w:ilvl w:val="0"/>
          <w:numId w:val="4"/>
        </w:numPr>
        <w:ind w:left="0" w:firstLine="567"/>
        <w:jc w:val="both"/>
        <w:rPr>
          <w:bCs/>
          <w:sz w:val="26"/>
          <w:szCs w:val="26"/>
        </w:rPr>
      </w:pPr>
      <w:r w:rsidRPr="00754EA5">
        <w:rPr>
          <w:bCs/>
          <w:sz w:val="26"/>
          <w:szCs w:val="26"/>
        </w:rPr>
        <w:t>скорочення кількості осіб, які мають право на податкову соціальну пільгу.</w:t>
      </w:r>
    </w:p>
    <w:p w:rsidR="00103DCC" w:rsidRDefault="00427B6D" w:rsidP="00103DCC">
      <w:pPr>
        <w:ind w:firstLine="567"/>
        <w:jc w:val="both"/>
        <w:rPr>
          <w:bCs/>
          <w:i/>
          <w:sz w:val="26"/>
          <w:szCs w:val="26"/>
          <w:shd w:val="clear" w:color="auto" w:fill="FFFFFF"/>
        </w:rPr>
      </w:pPr>
      <w:r w:rsidRPr="00754EA5">
        <w:rPr>
          <w:bCs/>
          <w:sz w:val="26"/>
          <w:szCs w:val="26"/>
          <w:shd w:val="clear" w:color="auto" w:fill="FFFFFF"/>
        </w:rPr>
        <w:t xml:space="preserve">Граничний розмір доходу, до якого застосовується податкова соціальна пільга у 2026 році становить 4 660 грн </w:t>
      </w:r>
      <w:r w:rsidRPr="00754EA5">
        <w:rPr>
          <w:bCs/>
          <w:i/>
          <w:sz w:val="26"/>
          <w:szCs w:val="26"/>
          <w:shd w:val="clear" w:color="auto" w:fill="FFFFFF"/>
        </w:rPr>
        <w:t xml:space="preserve">(цей розмір обчислюється як добуток місячного прожиткового мінімуму, діючого для працездатної особи на 1 січня звітного податкового року, на 1,4 та округлений до найближчих 10 гривень відповідно до </w:t>
      </w:r>
      <w:hyperlink r:id="rId10" w:history="1">
        <w:r w:rsidRPr="00754EA5">
          <w:rPr>
            <w:rStyle w:val="a3"/>
            <w:bCs/>
            <w:i/>
            <w:color w:val="auto"/>
            <w:sz w:val="26"/>
            <w:szCs w:val="26"/>
            <w:u w:val="none"/>
            <w:shd w:val="clear" w:color="auto" w:fill="FFFFFF"/>
          </w:rPr>
          <w:t>підпунктy 169.4.1 Податкового кодексу України</w:t>
        </w:r>
      </w:hyperlink>
      <w:r w:rsidRPr="00754EA5">
        <w:rPr>
          <w:bCs/>
          <w:i/>
          <w:sz w:val="26"/>
          <w:szCs w:val="26"/>
          <w:shd w:val="clear" w:color="auto" w:fill="FFFFFF"/>
        </w:rPr>
        <w:t>).</w:t>
      </w:r>
    </w:p>
    <w:p w:rsidR="00103DCC" w:rsidRDefault="00103DCC" w:rsidP="00103DCC">
      <w:pPr>
        <w:ind w:firstLine="567"/>
        <w:jc w:val="both"/>
        <w:rPr>
          <w:sz w:val="26"/>
          <w:szCs w:val="26"/>
        </w:rPr>
      </w:pPr>
    </w:p>
    <w:p w:rsidR="00427B6D" w:rsidRPr="00103DCC" w:rsidRDefault="00427B6D" w:rsidP="00103DCC">
      <w:pPr>
        <w:ind w:firstLine="567"/>
        <w:jc w:val="both"/>
        <w:rPr>
          <w:bCs/>
          <w:i/>
          <w:sz w:val="26"/>
          <w:szCs w:val="26"/>
          <w:shd w:val="clear" w:color="auto" w:fill="FFFFFF"/>
        </w:rPr>
      </w:pPr>
      <w:r w:rsidRPr="00754EA5">
        <w:rPr>
          <w:sz w:val="26"/>
          <w:szCs w:val="26"/>
        </w:rPr>
        <w:t>Податку на доходи фізичних осіб обраховано в сумі 202 609,0 тис. гривень, що на 33 623,2 тис. гривень більше очікуваних надходжень 2025 року, або на 19,9%.</w:t>
      </w:r>
    </w:p>
    <w:p w:rsidR="00103DCC" w:rsidRDefault="00103DCC" w:rsidP="00427B6D">
      <w:pPr>
        <w:tabs>
          <w:tab w:val="left" w:pos="0"/>
        </w:tabs>
        <w:jc w:val="center"/>
        <w:rPr>
          <w:b/>
          <w:szCs w:val="28"/>
        </w:rPr>
      </w:pPr>
    </w:p>
    <w:p w:rsidR="00103DCC" w:rsidRDefault="00103DCC" w:rsidP="00427B6D">
      <w:pPr>
        <w:tabs>
          <w:tab w:val="left" w:pos="0"/>
        </w:tabs>
        <w:jc w:val="center"/>
        <w:rPr>
          <w:b/>
          <w:szCs w:val="28"/>
        </w:rPr>
      </w:pPr>
    </w:p>
    <w:p w:rsidR="00103DCC" w:rsidRDefault="00103DCC" w:rsidP="00427B6D">
      <w:pPr>
        <w:tabs>
          <w:tab w:val="left" w:pos="0"/>
        </w:tabs>
        <w:jc w:val="center"/>
        <w:rPr>
          <w:b/>
          <w:szCs w:val="28"/>
        </w:rPr>
      </w:pPr>
    </w:p>
    <w:p w:rsidR="00103DCC" w:rsidRDefault="00103DCC" w:rsidP="00427B6D">
      <w:pPr>
        <w:tabs>
          <w:tab w:val="left" w:pos="0"/>
        </w:tabs>
        <w:jc w:val="center"/>
        <w:rPr>
          <w:b/>
          <w:szCs w:val="28"/>
        </w:rPr>
      </w:pPr>
    </w:p>
    <w:p w:rsidR="00103DCC" w:rsidRDefault="00103DCC" w:rsidP="00427B6D">
      <w:pPr>
        <w:tabs>
          <w:tab w:val="left" w:pos="0"/>
        </w:tabs>
        <w:jc w:val="center"/>
        <w:rPr>
          <w:b/>
          <w:szCs w:val="28"/>
        </w:rPr>
      </w:pPr>
    </w:p>
    <w:p w:rsidR="00103DCC" w:rsidRDefault="00103DCC" w:rsidP="00427B6D">
      <w:pPr>
        <w:tabs>
          <w:tab w:val="left" w:pos="0"/>
        </w:tabs>
        <w:jc w:val="center"/>
        <w:rPr>
          <w:b/>
          <w:szCs w:val="28"/>
        </w:rPr>
      </w:pPr>
    </w:p>
    <w:p w:rsidR="00427B6D" w:rsidRPr="00D71B85" w:rsidRDefault="00427B6D" w:rsidP="00427B6D">
      <w:pPr>
        <w:tabs>
          <w:tab w:val="left" w:pos="0"/>
        </w:tabs>
        <w:jc w:val="center"/>
        <w:rPr>
          <w:b/>
          <w:szCs w:val="28"/>
        </w:rPr>
      </w:pPr>
      <w:r w:rsidRPr="00D71B85">
        <w:rPr>
          <w:b/>
          <w:szCs w:val="28"/>
        </w:rPr>
        <w:lastRenderedPageBreak/>
        <w:t>Динаміка надходжень податку на доходи фізичних осіб</w:t>
      </w:r>
    </w:p>
    <w:p w:rsidR="00427B6D" w:rsidRPr="00D71B85" w:rsidRDefault="00427B6D" w:rsidP="00427B6D">
      <w:pPr>
        <w:tabs>
          <w:tab w:val="left" w:pos="0"/>
        </w:tabs>
        <w:jc w:val="right"/>
        <w:rPr>
          <w:sz w:val="22"/>
          <w:szCs w:val="22"/>
        </w:rPr>
      </w:pPr>
      <w:r w:rsidRPr="00D71B85">
        <w:rPr>
          <w:sz w:val="22"/>
          <w:szCs w:val="22"/>
        </w:rPr>
        <w:t>тис. гривень</w:t>
      </w:r>
    </w:p>
    <w:tbl>
      <w:tblPr>
        <w:tblStyle w:val="a6"/>
        <w:tblW w:w="9493" w:type="dxa"/>
        <w:tblInd w:w="0" w:type="dxa"/>
        <w:tblLook w:val="04A0" w:firstRow="1" w:lastRow="0" w:firstColumn="1" w:lastColumn="0" w:noHBand="0" w:noVBand="1"/>
      </w:tblPr>
      <w:tblGrid>
        <w:gridCol w:w="4673"/>
        <w:gridCol w:w="1559"/>
        <w:gridCol w:w="1701"/>
        <w:gridCol w:w="1560"/>
      </w:tblGrid>
      <w:tr w:rsidR="00427B6D" w:rsidRPr="00D71B85" w:rsidTr="00606BCD">
        <w:tc>
          <w:tcPr>
            <w:tcW w:w="4673"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Показники</w:t>
            </w:r>
          </w:p>
        </w:tc>
        <w:tc>
          <w:tcPr>
            <w:tcW w:w="1559"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 xml:space="preserve">Факт </w:t>
            </w:r>
          </w:p>
          <w:p w:rsidR="00427B6D" w:rsidRPr="00103DCC" w:rsidRDefault="00427B6D" w:rsidP="00606BCD">
            <w:pPr>
              <w:tabs>
                <w:tab w:val="left" w:pos="0"/>
              </w:tabs>
              <w:jc w:val="center"/>
              <w:rPr>
                <w:b/>
                <w:bCs/>
                <w:sz w:val="20"/>
                <w:szCs w:val="20"/>
                <w:lang w:eastAsia="uk-UA"/>
              </w:rPr>
            </w:pPr>
            <w:r w:rsidRPr="00103DCC">
              <w:rPr>
                <w:b/>
                <w:bCs/>
                <w:sz w:val="20"/>
                <w:szCs w:val="20"/>
                <w:lang w:eastAsia="uk-UA"/>
              </w:rPr>
              <w:t>2024 року (64%)</w:t>
            </w:r>
          </w:p>
        </w:tc>
        <w:tc>
          <w:tcPr>
            <w:tcW w:w="1701"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 xml:space="preserve">Очікуване </w:t>
            </w:r>
          </w:p>
          <w:p w:rsidR="00427B6D" w:rsidRPr="00103DCC" w:rsidRDefault="00427B6D" w:rsidP="00606BCD">
            <w:pPr>
              <w:tabs>
                <w:tab w:val="left" w:pos="0"/>
              </w:tabs>
              <w:jc w:val="center"/>
              <w:rPr>
                <w:b/>
                <w:bCs/>
                <w:sz w:val="20"/>
                <w:szCs w:val="20"/>
                <w:lang w:eastAsia="uk-UA"/>
              </w:rPr>
            </w:pPr>
            <w:r w:rsidRPr="00103DCC">
              <w:rPr>
                <w:b/>
                <w:bCs/>
                <w:sz w:val="20"/>
                <w:szCs w:val="20"/>
                <w:lang w:eastAsia="uk-UA"/>
              </w:rPr>
              <w:t>за 2025 рік (64%)</w:t>
            </w:r>
          </w:p>
        </w:tc>
        <w:tc>
          <w:tcPr>
            <w:tcW w:w="1560"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 xml:space="preserve">Прогноз </w:t>
            </w:r>
          </w:p>
          <w:p w:rsidR="00427B6D" w:rsidRPr="00103DCC" w:rsidRDefault="00427B6D" w:rsidP="00606BCD">
            <w:pPr>
              <w:tabs>
                <w:tab w:val="left" w:pos="0"/>
              </w:tabs>
              <w:jc w:val="center"/>
              <w:rPr>
                <w:b/>
                <w:bCs/>
                <w:sz w:val="20"/>
                <w:szCs w:val="20"/>
                <w:lang w:eastAsia="uk-UA"/>
              </w:rPr>
            </w:pPr>
            <w:r w:rsidRPr="00103DCC">
              <w:rPr>
                <w:b/>
                <w:bCs/>
                <w:sz w:val="20"/>
                <w:szCs w:val="20"/>
                <w:lang w:eastAsia="uk-UA"/>
              </w:rPr>
              <w:t>на 2026 рік (64%)</w:t>
            </w:r>
          </w:p>
        </w:tc>
      </w:tr>
      <w:tr w:rsidR="00427B6D" w:rsidRPr="00D71B85" w:rsidTr="00606BCD">
        <w:tc>
          <w:tcPr>
            <w:tcW w:w="4673" w:type="dxa"/>
            <w:tcBorders>
              <w:top w:val="single" w:sz="4" w:space="0" w:color="auto"/>
              <w:left w:val="single" w:sz="4" w:space="0" w:color="auto"/>
              <w:bottom w:val="single" w:sz="4" w:space="0" w:color="auto"/>
              <w:right w:val="single" w:sz="4" w:space="0" w:color="auto"/>
            </w:tcBorders>
            <w:hideMark/>
          </w:tcPr>
          <w:p w:rsidR="00427B6D" w:rsidRPr="003324A7" w:rsidRDefault="00427B6D" w:rsidP="00606BCD">
            <w:pPr>
              <w:tabs>
                <w:tab w:val="left" w:pos="0"/>
              </w:tabs>
              <w:jc w:val="both"/>
              <w:rPr>
                <w:sz w:val="20"/>
                <w:szCs w:val="20"/>
                <w:lang w:eastAsia="uk-UA"/>
              </w:rPr>
            </w:pPr>
            <w:r w:rsidRPr="003324A7">
              <w:rPr>
                <w:sz w:val="20"/>
                <w:szCs w:val="20"/>
                <w:lang w:eastAsia="uk-UA"/>
              </w:rPr>
              <w:t>Податок на доходи фізичних осіб, що сплачується податковими агентами, із доходів платника податку у вигляді заробітної плати</w:t>
            </w:r>
          </w:p>
        </w:tc>
        <w:tc>
          <w:tcPr>
            <w:tcW w:w="1559"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131 706,5</w:t>
            </w:r>
          </w:p>
        </w:tc>
        <w:tc>
          <w:tcPr>
            <w:tcW w:w="1701"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153 725,7</w:t>
            </w:r>
          </w:p>
        </w:tc>
        <w:tc>
          <w:tcPr>
            <w:tcW w:w="1560"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186 954,0</w:t>
            </w:r>
          </w:p>
        </w:tc>
      </w:tr>
      <w:tr w:rsidR="00427B6D" w:rsidRPr="00D71B85" w:rsidTr="00606BCD">
        <w:tc>
          <w:tcPr>
            <w:tcW w:w="4673" w:type="dxa"/>
            <w:tcBorders>
              <w:top w:val="single" w:sz="4" w:space="0" w:color="auto"/>
              <w:left w:val="single" w:sz="4" w:space="0" w:color="auto"/>
              <w:bottom w:val="single" w:sz="4" w:space="0" w:color="auto"/>
              <w:right w:val="single" w:sz="4" w:space="0" w:color="auto"/>
            </w:tcBorders>
            <w:hideMark/>
          </w:tcPr>
          <w:p w:rsidR="00427B6D" w:rsidRPr="003324A7" w:rsidRDefault="00427B6D" w:rsidP="00606BCD">
            <w:pPr>
              <w:tabs>
                <w:tab w:val="left" w:pos="0"/>
              </w:tabs>
              <w:jc w:val="both"/>
              <w:rPr>
                <w:sz w:val="20"/>
                <w:szCs w:val="20"/>
                <w:lang w:eastAsia="uk-UA"/>
              </w:rPr>
            </w:pPr>
            <w:r w:rsidRPr="003324A7">
              <w:rPr>
                <w:sz w:val="20"/>
                <w:szCs w:val="20"/>
                <w:lang w:eastAsia="uk-UA"/>
              </w:rPr>
              <w:t>Податок на доходи фізичних осіб, що сплачується податковими агентами, із доходів платника податку інших ніж заробітна плата</w:t>
            </w:r>
          </w:p>
        </w:tc>
        <w:tc>
          <w:tcPr>
            <w:tcW w:w="1559"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13 947,8</w:t>
            </w:r>
          </w:p>
        </w:tc>
        <w:tc>
          <w:tcPr>
            <w:tcW w:w="1701"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sidRPr="00D71B85">
              <w:rPr>
                <w:sz w:val="22"/>
                <w:szCs w:val="22"/>
                <w:lang w:eastAsia="uk-UA"/>
              </w:rPr>
              <w:t>1</w:t>
            </w:r>
            <w:r>
              <w:rPr>
                <w:sz w:val="22"/>
                <w:szCs w:val="22"/>
                <w:lang w:eastAsia="uk-UA"/>
              </w:rPr>
              <w:t>3 800,0</w:t>
            </w:r>
          </w:p>
          <w:p w:rsidR="00427B6D" w:rsidRPr="00D71B85" w:rsidRDefault="00427B6D" w:rsidP="00606BCD">
            <w:pPr>
              <w:tabs>
                <w:tab w:val="left" w:pos="0"/>
              </w:tabs>
              <w:jc w:val="center"/>
              <w:rPr>
                <w:sz w:val="22"/>
                <w:szCs w:val="22"/>
                <w:lang w:eastAsia="uk-UA"/>
              </w:rPr>
            </w:pPr>
          </w:p>
        </w:tc>
        <w:tc>
          <w:tcPr>
            <w:tcW w:w="1560"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r w:rsidRPr="00D71B85">
              <w:rPr>
                <w:sz w:val="22"/>
                <w:szCs w:val="22"/>
                <w:lang w:eastAsia="uk-UA"/>
              </w:rPr>
              <w:t xml:space="preserve"> </w:t>
            </w:r>
          </w:p>
          <w:p w:rsidR="00427B6D" w:rsidRPr="00D71B85" w:rsidRDefault="00427B6D" w:rsidP="00606BCD">
            <w:pPr>
              <w:tabs>
                <w:tab w:val="left" w:pos="0"/>
              </w:tabs>
              <w:jc w:val="center"/>
              <w:rPr>
                <w:sz w:val="22"/>
                <w:szCs w:val="22"/>
                <w:lang w:eastAsia="uk-UA"/>
              </w:rPr>
            </w:pPr>
            <w:r w:rsidRPr="00D71B85">
              <w:rPr>
                <w:sz w:val="22"/>
                <w:szCs w:val="22"/>
                <w:lang w:eastAsia="uk-UA"/>
              </w:rPr>
              <w:t>1</w:t>
            </w:r>
            <w:r>
              <w:rPr>
                <w:sz w:val="22"/>
                <w:szCs w:val="22"/>
                <w:lang w:eastAsia="uk-UA"/>
              </w:rPr>
              <w:t>4</w:t>
            </w:r>
            <w:r w:rsidRPr="00D71B85">
              <w:rPr>
                <w:sz w:val="22"/>
                <w:szCs w:val="22"/>
                <w:lang w:eastAsia="uk-UA"/>
              </w:rPr>
              <w:t> </w:t>
            </w:r>
            <w:r>
              <w:rPr>
                <w:sz w:val="22"/>
                <w:szCs w:val="22"/>
                <w:lang w:eastAsia="uk-UA"/>
              </w:rPr>
              <w:t>0</w:t>
            </w:r>
            <w:r w:rsidRPr="00D71B85">
              <w:rPr>
                <w:sz w:val="22"/>
                <w:szCs w:val="22"/>
                <w:lang w:eastAsia="uk-UA"/>
              </w:rPr>
              <w:t>00,0</w:t>
            </w:r>
          </w:p>
        </w:tc>
      </w:tr>
      <w:tr w:rsidR="00427B6D" w:rsidRPr="00D71B85" w:rsidTr="00606BCD">
        <w:tc>
          <w:tcPr>
            <w:tcW w:w="4673" w:type="dxa"/>
            <w:tcBorders>
              <w:top w:val="single" w:sz="4" w:space="0" w:color="auto"/>
              <w:left w:val="single" w:sz="4" w:space="0" w:color="auto"/>
              <w:bottom w:val="single" w:sz="4" w:space="0" w:color="auto"/>
              <w:right w:val="single" w:sz="4" w:space="0" w:color="auto"/>
            </w:tcBorders>
            <w:hideMark/>
          </w:tcPr>
          <w:p w:rsidR="00427B6D" w:rsidRPr="003324A7" w:rsidRDefault="00427B6D" w:rsidP="00606BCD">
            <w:pPr>
              <w:tabs>
                <w:tab w:val="left" w:pos="0"/>
              </w:tabs>
              <w:jc w:val="both"/>
              <w:rPr>
                <w:sz w:val="20"/>
                <w:szCs w:val="20"/>
                <w:lang w:eastAsia="uk-UA"/>
              </w:rPr>
            </w:pPr>
            <w:r w:rsidRPr="003324A7">
              <w:rPr>
                <w:sz w:val="20"/>
                <w:szCs w:val="20"/>
                <w:lang w:eastAsia="uk-UA"/>
              </w:rPr>
              <w:t>Податок на доходи фізичних осіб, що сплачується фізичними особами за результатами річного декларування</w:t>
            </w:r>
          </w:p>
        </w:tc>
        <w:tc>
          <w:tcPr>
            <w:tcW w:w="1559"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692,8</w:t>
            </w:r>
          </w:p>
        </w:tc>
        <w:tc>
          <w:tcPr>
            <w:tcW w:w="1701"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1 225,0</w:t>
            </w:r>
          </w:p>
        </w:tc>
        <w:tc>
          <w:tcPr>
            <w:tcW w:w="1560"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1 400,0</w:t>
            </w:r>
          </w:p>
        </w:tc>
      </w:tr>
      <w:tr w:rsidR="00427B6D" w:rsidRPr="00D71B85" w:rsidTr="00606BCD">
        <w:tc>
          <w:tcPr>
            <w:tcW w:w="4673" w:type="dxa"/>
            <w:tcBorders>
              <w:top w:val="single" w:sz="4" w:space="0" w:color="auto"/>
              <w:left w:val="single" w:sz="4" w:space="0" w:color="auto"/>
              <w:bottom w:val="single" w:sz="4" w:space="0" w:color="auto"/>
              <w:right w:val="single" w:sz="4" w:space="0" w:color="auto"/>
            </w:tcBorders>
          </w:tcPr>
          <w:p w:rsidR="00427B6D" w:rsidRPr="003324A7" w:rsidRDefault="00427B6D" w:rsidP="00606BCD">
            <w:pPr>
              <w:tabs>
                <w:tab w:val="left" w:pos="0"/>
              </w:tabs>
              <w:jc w:val="both"/>
              <w:rPr>
                <w:sz w:val="20"/>
                <w:szCs w:val="20"/>
                <w:lang w:eastAsia="uk-UA"/>
              </w:rPr>
            </w:pPr>
            <w:r w:rsidRPr="000F1E5D">
              <w:rPr>
                <w:sz w:val="20"/>
                <w:szCs w:val="20"/>
                <w:lang w:eastAsia="uk-UA"/>
              </w:rPr>
              <w:t>Податок на доходи фізичних осіб із доходів спеціалістів резидента Дія Сіті</w:t>
            </w:r>
          </w:p>
        </w:tc>
        <w:tc>
          <w:tcPr>
            <w:tcW w:w="1559"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sidRPr="00D71B85">
              <w:rPr>
                <w:sz w:val="22"/>
                <w:szCs w:val="22"/>
                <w:lang w:eastAsia="uk-UA"/>
              </w:rPr>
              <w:t>0</w:t>
            </w:r>
          </w:p>
        </w:tc>
        <w:tc>
          <w:tcPr>
            <w:tcW w:w="1701"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160,0</w:t>
            </w:r>
          </w:p>
        </w:tc>
        <w:tc>
          <w:tcPr>
            <w:tcW w:w="1560" w:type="dxa"/>
            <w:tcBorders>
              <w:top w:val="single" w:sz="4" w:space="0" w:color="auto"/>
              <w:left w:val="single" w:sz="4" w:space="0" w:color="auto"/>
              <w:bottom w:val="single" w:sz="4" w:space="0" w:color="auto"/>
              <w:right w:val="single" w:sz="4" w:space="0" w:color="auto"/>
            </w:tcBorders>
          </w:tcPr>
          <w:p w:rsidR="00427B6D"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175,0</w:t>
            </w:r>
          </w:p>
        </w:tc>
      </w:tr>
      <w:tr w:rsidR="00427B6D" w:rsidRPr="00D71B85" w:rsidTr="00606BCD">
        <w:tc>
          <w:tcPr>
            <w:tcW w:w="4673" w:type="dxa"/>
            <w:tcBorders>
              <w:top w:val="single" w:sz="4" w:space="0" w:color="auto"/>
              <w:left w:val="single" w:sz="4" w:space="0" w:color="auto"/>
              <w:bottom w:val="single" w:sz="4" w:space="0" w:color="auto"/>
              <w:right w:val="single" w:sz="4" w:space="0" w:color="auto"/>
            </w:tcBorders>
          </w:tcPr>
          <w:p w:rsidR="00427B6D" w:rsidRPr="003324A7" w:rsidRDefault="00427B6D" w:rsidP="00606BCD">
            <w:pPr>
              <w:tabs>
                <w:tab w:val="left" w:pos="0"/>
              </w:tabs>
              <w:jc w:val="both"/>
              <w:rPr>
                <w:sz w:val="20"/>
                <w:szCs w:val="20"/>
                <w:lang w:eastAsia="uk-UA"/>
              </w:rPr>
            </w:pPr>
            <w:r w:rsidRPr="003324A7">
              <w:rPr>
                <w:sz w:val="20"/>
                <w:szCs w:val="20"/>
                <w:lang w:eastAsia="uk-UA"/>
              </w:rPr>
              <w:t>Податок на доходи фізичних осіб у вигляді мінімального податкового зобов`язання, що підлягає сплаті фізичними особами</w:t>
            </w:r>
          </w:p>
        </w:tc>
        <w:tc>
          <w:tcPr>
            <w:tcW w:w="1559" w:type="dxa"/>
            <w:tcBorders>
              <w:top w:val="single" w:sz="4" w:space="0" w:color="auto"/>
              <w:left w:val="single" w:sz="4" w:space="0" w:color="auto"/>
              <w:bottom w:val="single" w:sz="4" w:space="0" w:color="auto"/>
              <w:right w:val="single" w:sz="4" w:space="0" w:color="auto"/>
            </w:tcBorders>
          </w:tcPr>
          <w:p w:rsidR="00427B6D"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333,2</w:t>
            </w:r>
          </w:p>
        </w:tc>
        <w:tc>
          <w:tcPr>
            <w:tcW w:w="1701" w:type="dxa"/>
            <w:tcBorders>
              <w:top w:val="single" w:sz="4" w:space="0" w:color="auto"/>
              <w:left w:val="single" w:sz="4" w:space="0" w:color="auto"/>
              <w:bottom w:val="single" w:sz="4" w:space="0" w:color="auto"/>
              <w:right w:val="single" w:sz="4" w:space="0" w:color="auto"/>
            </w:tcBorders>
          </w:tcPr>
          <w:p w:rsidR="00427B6D"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75,0</w:t>
            </w:r>
          </w:p>
        </w:tc>
        <w:tc>
          <w:tcPr>
            <w:tcW w:w="1560" w:type="dxa"/>
            <w:tcBorders>
              <w:top w:val="single" w:sz="4" w:space="0" w:color="auto"/>
              <w:left w:val="single" w:sz="4" w:space="0" w:color="auto"/>
              <w:bottom w:val="single" w:sz="4" w:space="0" w:color="auto"/>
              <w:right w:val="single" w:sz="4" w:space="0" w:color="auto"/>
            </w:tcBorders>
          </w:tcPr>
          <w:p w:rsidR="00427B6D" w:rsidRDefault="00427B6D" w:rsidP="00606BCD">
            <w:pPr>
              <w:tabs>
                <w:tab w:val="left" w:pos="0"/>
              </w:tabs>
              <w:jc w:val="center"/>
              <w:rPr>
                <w:sz w:val="22"/>
                <w:szCs w:val="22"/>
                <w:lang w:eastAsia="uk-UA"/>
              </w:rPr>
            </w:pPr>
          </w:p>
          <w:p w:rsidR="00427B6D" w:rsidRPr="00D71B85" w:rsidRDefault="00427B6D" w:rsidP="00606BCD">
            <w:pPr>
              <w:tabs>
                <w:tab w:val="left" w:pos="0"/>
              </w:tabs>
              <w:jc w:val="center"/>
              <w:rPr>
                <w:sz w:val="22"/>
                <w:szCs w:val="22"/>
                <w:lang w:eastAsia="uk-UA"/>
              </w:rPr>
            </w:pPr>
            <w:r>
              <w:rPr>
                <w:sz w:val="22"/>
                <w:szCs w:val="22"/>
                <w:lang w:eastAsia="uk-UA"/>
              </w:rPr>
              <w:t>80,0</w:t>
            </w:r>
          </w:p>
        </w:tc>
      </w:tr>
    </w:tbl>
    <w:p w:rsidR="00427B6D" w:rsidRDefault="00427B6D" w:rsidP="00427B6D">
      <w:pPr>
        <w:tabs>
          <w:tab w:val="left" w:pos="0"/>
        </w:tabs>
        <w:jc w:val="both"/>
        <w:rPr>
          <w:szCs w:val="28"/>
        </w:rPr>
      </w:pPr>
    </w:p>
    <w:p w:rsidR="00427B6D" w:rsidRDefault="00427B6D" w:rsidP="00427B6D">
      <w:pPr>
        <w:tabs>
          <w:tab w:val="left" w:pos="0"/>
        </w:tabs>
        <w:jc w:val="both"/>
        <w:rPr>
          <w:szCs w:val="28"/>
        </w:rPr>
      </w:pPr>
      <w:r w:rsidRPr="00E0344D">
        <w:rPr>
          <w:noProof/>
          <w:szCs w:val="28"/>
          <w:lang w:val="ru-RU"/>
        </w:rPr>
        <w:drawing>
          <wp:inline distT="0" distB="0" distL="0" distR="0" wp14:anchorId="4B3EC99E" wp14:editId="42C99DFF">
            <wp:extent cx="5940425" cy="3341370"/>
            <wp:effectExtent l="0" t="0" r="317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425" cy="3341370"/>
                    </a:xfrm>
                    <a:prstGeom prst="rect">
                      <a:avLst/>
                    </a:prstGeom>
                  </pic:spPr>
                </pic:pic>
              </a:graphicData>
            </a:graphic>
          </wp:inline>
        </w:drawing>
      </w:r>
    </w:p>
    <w:p w:rsidR="00427B6D" w:rsidRPr="00754EA5" w:rsidRDefault="00427B6D" w:rsidP="00103DCC">
      <w:pPr>
        <w:tabs>
          <w:tab w:val="left" w:pos="0"/>
        </w:tabs>
        <w:ind w:firstLine="567"/>
        <w:jc w:val="both"/>
        <w:rPr>
          <w:sz w:val="26"/>
          <w:szCs w:val="26"/>
        </w:rPr>
      </w:pPr>
      <w:r w:rsidRPr="00754EA5">
        <w:rPr>
          <w:sz w:val="26"/>
          <w:szCs w:val="26"/>
        </w:rPr>
        <w:t>При розрахунку податку враховано ділову активність суб’єктів господарювання, виходячи з можливостей в період дії воєнного стану та ліквідації наслідків збройної агресії проти України.</w:t>
      </w:r>
    </w:p>
    <w:p w:rsidR="00103DCC" w:rsidRPr="00062871" w:rsidRDefault="00103DCC" w:rsidP="00427B6D">
      <w:pPr>
        <w:ind w:firstLine="708"/>
        <w:jc w:val="center"/>
        <w:rPr>
          <w:b/>
          <w:i/>
          <w:sz w:val="26"/>
          <w:szCs w:val="26"/>
        </w:rPr>
      </w:pPr>
    </w:p>
    <w:p w:rsidR="00427B6D" w:rsidRPr="00754EA5" w:rsidRDefault="00427B6D" w:rsidP="00427B6D">
      <w:pPr>
        <w:ind w:firstLine="708"/>
        <w:jc w:val="center"/>
        <w:rPr>
          <w:b/>
          <w:i/>
          <w:sz w:val="26"/>
          <w:szCs w:val="26"/>
          <w:lang w:val="ru-RU"/>
        </w:rPr>
      </w:pPr>
      <w:r w:rsidRPr="00754EA5">
        <w:rPr>
          <w:b/>
          <w:i/>
          <w:sz w:val="26"/>
          <w:szCs w:val="26"/>
          <w:lang w:val="ru-RU"/>
        </w:rPr>
        <w:t>Плата за землю</w:t>
      </w:r>
    </w:p>
    <w:p w:rsidR="00427B6D" w:rsidRPr="00103DCC" w:rsidRDefault="00427B6D" w:rsidP="00103DCC">
      <w:pPr>
        <w:ind w:firstLine="567"/>
        <w:jc w:val="both"/>
        <w:rPr>
          <w:sz w:val="26"/>
          <w:szCs w:val="26"/>
        </w:rPr>
      </w:pPr>
      <w:r w:rsidRPr="00103DCC">
        <w:rPr>
          <w:sz w:val="26"/>
          <w:szCs w:val="26"/>
        </w:rPr>
        <w:t>Друге місце за обсягом надходжень до загального фонду бюджету Тростянецької міської територіальної громади належить до плати за землю, питома вага яких становить 14,8%. Обсяг надходжень плати за землю на 2026 рік обраховано в сумі 48 536,0 тис. гривень, що на 5 711,0 тис. гривень більше, приріст 13,3% та враховує:</w:t>
      </w:r>
    </w:p>
    <w:p w:rsidR="00427B6D" w:rsidRPr="00103DCC" w:rsidRDefault="00427B6D" w:rsidP="00103DCC">
      <w:pPr>
        <w:ind w:firstLine="567"/>
        <w:jc w:val="both"/>
        <w:rPr>
          <w:sz w:val="26"/>
          <w:szCs w:val="26"/>
        </w:rPr>
      </w:pPr>
      <w:r w:rsidRPr="00103DCC">
        <w:rPr>
          <w:sz w:val="26"/>
          <w:szCs w:val="26"/>
        </w:rPr>
        <w:t xml:space="preserve">- динаміку надходжень плати за землю та фактичних платників станом на 01.11.2025 року; </w:t>
      </w:r>
    </w:p>
    <w:p w:rsidR="00427B6D" w:rsidRPr="00103DCC" w:rsidRDefault="00427B6D" w:rsidP="00103DCC">
      <w:pPr>
        <w:ind w:firstLine="567"/>
        <w:jc w:val="both"/>
        <w:rPr>
          <w:sz w:val="26"/>
          <w:szCs w:val="26"/>
        </w:rPr>
      </w:pPr>
      <w:r w:rsidRPr="00103DCC">
        <w:rPr>
          <w:sz w:val="26"/>
          <w:szCs w:val="26"/>
        </w:rPr>
        <w:t xml:space="preserve">- площу земель, яка охоплена договорами оренди; </w:t>
      </w:r>
    </w:p>
    <w:p w:rsidR="00427B6D" w:rsidRPr="00103DCC" w:rsidRDefault="00427B6D" w:rsidP="00103DCC">
      <w:pPr>
        <w:ind w:firstLine="567"/>
        <w:jc w:val="both"/>
        <w:rPr>
          <w:sz w:val="26"/>
          <w:szCs w:val="26"/>
        </w:rPr>
      </w:pPr>
      <w:r w:rsidRPr="00103DCC">
        <w:rPr>
          <w:sz w:val="26"/>
          <w:szCs w:val="26"/>
        </w:rPr>
        <w:lastRenderedPageBreak/>
        <w:t>- перелік земельних ділянок, які підлягають перегляду з метою підвищення відсотку орендної плати та які підлягають передачі в оренду;</w:t>
      </w:r>
    </w:p>
    <w:p w:rsidR="00427B6D" w:rsidRPr="00103DCC" w:rsidRDefault="00427B6D" w:rsidP="00103DCC">
      <w:pPr>
        <w:ind w:firstLine="567"/>
        <w:jc w:val="both"/>
        <w:rPr>
          <w:sz w:val="26"/>
          <w:szCs w:val="26"/>
        </w:rPr>
      </w:pPr>
      <w:r w:rsidRPr="00103DCC">
        <w:rPr>
          <w:color w:val="000000"/>
          <w:sz w:val="26"/>
          <w:szCs w:val="26"/>
          <w:shd w:val="clear" w:color="auto" w:fill="FFFFFF"/>
        </w:rPr>
        <w:t xml:space="preserve">- </w:t>
      </w:r>
      <w:r w:rsidRPr="00103DCC">
        <w:rPr>
          <w:sz w:val="26"/>
          <w:szCs w:val="26"/>
        </w:rPr>
        <w:t>затверджені ставки земельного податку на 2026 рік рішенням Тростянецької міської ради від 14.07.2021 № 798 «Про встановлення місцевих податків та зборів на території Тростянецької міської територіальної громади з 01.01.2022 року».</w:t>
      </w:r>
    </w:p>
    <w:p w:rsidR="00427B6D" w:rsidRPr="00103DCC" w:rsidRDefault="00427B6D" w:rsidP="00427B6D">
      <w:pPr>
        <w:ind w:firstLine="708"/>
        <w:jc w:val="center"/>
        <w:rPr>
          <w:b/>
          <w:i/>
          <w:szCs w:val="28"/>
        </w:rPr>
      </w:pPr>
    </w:p>
    <w:p w:rsidR="00427B6D" w:rsidRPr="00D71B85" w:rsidRDefault="00427B6D" w:rsidP="00103DCC">
      <w:pPr>
        <w:jc w:val="center"/>
        <w:rPr>
          <w:szCs w:val="28"/>
          <w:lang w:val="ru-RU"/>
        </w:rPr>
      </w:pPr>
      <w:r w:rsidRPr="00D71B85">
        <w:rPr>
          <w:b/>
          <w:i/>
          <w:szCs w:val="28"/>
          <w:lang w:val="ru-RU"/>
        </w:rPr>
        <w:t>Динаміка надходжень плати за землю</w:t>
      </w:r>
    </w:p>
    <w:p w:rsidR="00427B6D" w:rsidRPr="00D71B85" w:rsidRDefault="00427B6D" w:rsidP="00427B6D">
      <w:pPr>
        <w:tabs>
          <w:tab w:val="left" w:pos="0"/>
        </w:tabs>
        <w:jc w:val="right"/>
        <w:rPr>
          <w:sz w:val="22"/>
          <w:szCs w:val="22"/>
        </w:rPr>
      </w:pPr>
      <w:r w:rsidRPr="00D71B85">
        <w:rPr>
          <w:sz w:val="22"/>
          <w:szCs w:val="22"/>
        </w:rPr>
        <w:t>тис.гривень</w:t>
      </w:r>
    </w:p>
    <w:tbl>
      <w:tblPr>
        <w:tblStyle w:val="a6"/>
        <w:tblW w:w="0" w:type="auto"/>
        <w:tblInd w:w="0" w:type="dxa"/>
        <w:tblLook w:val="04A0" w:firstRow="1" w:lastRow="0" w:firstColumn="1" w:lastColumn="0" w:noHBand="0" w:noVBand="1"/>
      </w:tblPr>
      <w:tblGrid>
        <w:gridCol w:w="3256"/>
        <w:gridCol w:w="2126"/>
        <w:gridCol w:w="1984"/>
        <w:gridCol w:w="1979"/>
      </w:tblGrid>
      <w:tr w:rsidR="00427B6D" w:rsidRPr="00D71B85" w:rsidTr="00606BCD">
        <w:tc>
          <w:tcPr>
            <w:tcW w:w="3256"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Показники</w:t>
            </w:r>
          </w:p>
        </w:tc>
        <w:tc>
          <w:tcPr>
            <w:tcW w:w="2126"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Факт</w:t>
            </w:r>
          </w:p>
          <w:p w:rsidR="00427B6D" w:rsidRPr="00103DCC" w:rsidRDefault="00427B6D" w:rsidP="00606BCD">
            <w:pPr>
              <w:tabs>
                <w:tab w:val="left" w:pos="0"/>
              </w:tabs>
              <w:jc w:val="center"/>
              <w:rPr>
                <w:b/>
                <w:bCs/>
                <w:sz w:val="20"/>
                <w:szCs w:val="20"/>
                <w:lang w:eastAsia="uk-UA"/>
              </w:rPr>
            </w:pPr>
            <w:r w:rsidRPr="00103DCC">
              <w:rPr>
                <w:b/>
                <w:bCs/>
                <w:sz w:val="20"/>
                <w:szCs w:val="20"/>
                <w:lang w:eastAsia="uk-UA"/>
              </w:rPr>
              <w:t xml:space="preserve"> 2024 року </w:t>
            </w:r>
          </w:p>
        </w:tc>
        <w:tc>
          <w:tcPr>
            <w:tcW w:w="1984"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 xml:space="preserve">Очікуване </w:t>
            </w:r>
          </w:p>
          <w:p w:rsidR="00427B6D" w:rsidRPr="00103DCC" w:rsidRDefault="00427B6D" w:rsidP="00606BCD">
            <w:pPr>
              <w:tabs>
                <w:tab w:val="left" w:pos="0"/>
              </w:tabs>
              <w:jc w:val="center"/>
              <w:rPr>
                <w:b/>
                <w:bCs/>
                <w:sz w:val="20"/>
                <w:szCs w:val="20"/>
                <w:lang w:eastAsia="uk-UA"/>
              </w:rPr>
            </w:pPr>
            <w:r w:rsidRPr="00103DCC">
              <w:rPr>
                <w:b/>
                <w:bCs/>
                <w:sz w:val="20"/>
                <w:szCs w:val="20"/>
                <w:lang w:eastAsia="uk-UA"/>
              </w:rPr>
              <w:t>за 2025 рік</w:t>
            </w:r>
          </w:p>
        </w:tc>
        <w:tc>
          <w:tcPr>
            <w:tcW w:w="1979" w:type="dxa"/>
            <w:tcBorders>
              <w:top w:val="single" w:sz="4" w:space="0" w:color="auto"/>
              <w:left w:val="single" w:sz="4" w:space="0" w:color="auto"/>
              <w:bottom w:val="single" w:sz="4" w:space="0" w:color="auto"/>
              <w:right w:val="single" w:sz="4" w:space="0" w:color="auto"/>
            </w:tcBorders>
            <w:hideMark/>
          </w:tcPr>
          <w:p w:rsidR="00427B6D" w:rsidRPr="00103DCC" w:rsidRDefault="00427B6D" w:rsidP="00606BCD">
            <w:pPr>
              <w:tabs>
                <w:tab w:val="left" w:pos="0"/>
              </w:tabs>
              <w:jc w:val="center"/>
              <w:rPr>
                <w:b/>
                <w:bCs/>
                <w:sz w:val="20"/>
                <w:szCs w:val="20"/>
                <w:lang w:eastAsia="uk-UA"/>
              </w:rPr>
            </w:pPr>
            <w:r w:rsidRPr="00103DCC">
              <w:rPr>
                <w:b/>
                <w:bCs/>
                <w:sz w:val="20"/>
                <w:szCs w:val="20"/>
                <w:lang w:eastAsia="uk-UA"/>
              </w:rPr>
              <w:t xml:space="preserve">Прогноз </w:t>
            </w:r>
          </w:p>
          <w:p w:rsidR="00427B6D" w:rsidRPr="00103DCC" w:rsidRDefault="00427B6D" w:rsidP="00606BCD">
            <w:pPr>
              <w:tabs>
                <w:tab w:val="left" w:pos="0"/>
              </w:tabs>
              <w:jc w:val="center"/>
              <w:rPr>
                <w:b/>
                <w:bCs/>
                <w:sz w:val="20"/>
                <w:szCs w:val="20"/>
                <w:lang w:eastAsia="uk-UA"/>
              </w:rPr>
            </w:pPr>
            <w:r w:rsidRPr="00103DCC">
              <w:rPr>
                <w:b/>
                <w:bCs/>
                <w:sz w:val="20"/>
                <w:szCs w:val="20"/>
                <w:lang w:eastAsia="uk-UA"/>
              </w:rPr>
              <w:t>на 2026 рік</w:t>
            </w:r>
          </w:p>
        </w:tc>
      </w:tr>
      <w:tr w:rsidR="00427B6D" w:rsidRPr="00D71B85" w:rsidTr="00606BCD">
        <w:tc>
          <w:tcPr>
            <w:tcW w:w="325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both"/>
              <w:rPr>
                <w:b/>
                <w:sz w:val="22"/>
                <w:szCs w:val="22"/>
                <w:lang w:eastAsia="uk-UA"/>
              </w:rPr>
            </w:pPr>
            <w:r w:rsidRPr="00D71B85">
              <w:rPr>
                <w:b/>
                <w:sz w:val="22"/>
                <w:szCs w:val="22"/>
                <w:lang w:eastAsia="uk-UA"/>
              </w:rPr>
              <w:t>Обсяг надходжень до бюджету Тростянецької МТГ всього,</w:t>
            </w:r>
          </w:p>
          <w:p w:rsidR="00427B6D" w:rsidRPr="00D71B85" w:rsidRDefault="00427B6D" w:rsidP="00606BCD">
            <w:pPr>
              <w:tabs>
                <w:tab w:val="left" w:pos="0"/>
              </w:tabs>
              <w:jc w:val="both"/>
              <w:rPr>
                <w:b/>
                <w:sz w:val="22"/>
                <w:szCs w:val="22"/>
                <w:lang w:eastAsia="uk-UA"/>
              </w:rPr>
            </w:pPr>
            <w:r w:rsidRPr="00D71B85">
              <w:rPr>
                <w:b/>
                <w:sz w:val="22"/>
                <w:szCs w:val="22"/>
                <w:lang w:eastAsia="uk-UA"/>
              </w:rPr>
              <w:t>у тому числі:</w:t>
            </w:r>
          </w:p>
        </w:tc>
        <w:tc>
          <w:tcPr>
            <w:tcW w:w="212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b/>
                <w:sz w:val="22"/>
                <w:szCs w:val="22"/>
                <w:lang w:eastAsia="uk-UA"/>
              </w:rPr>
            </w:pPr>
            <w:r>
              <w:rPr>
                <w:b/>
                <w:sz w:val="22"/>
                <w:szCs w:val="22"/>
                <w:lang w:eastAsia="uk-UA"/>
              </w:rPr>
              <w:t>36 011,6</w:t>
            </w:r>
          </w:p>
        </w:tc>
        <w:tc>
          <w:tcPr>
            <w:tcW w:w="1984"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b/>
                <w:sz w:val="22"/>
                <w:szCs w:val="22"/>
                <w:lang w:eastAsia="uk-UA"/>
              </w:rPr>
            </w:pPr>
            <w:r>
              <w:rPr>
                <w:b/>
                <w:sz w:val="22"/>
                <w:szCs w:val="22"/>
                <w:lang w:eastAsia="uk-UA"/>
              </w:rPr>
              <w:t>42 825,0</w:t>
            </w:r>
          </w:p>
        </w:tc>
        <w:tc>
          <w:tcPr>
            <w:tcW w:w="1979"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b/>
                <w:sz w:val="22"/>
                <w:szCs w:val="22"/>
                <w:lang w:eastAsia="uk-UA"/>
              </w:rPr>
            </w:pPr>
            <w:r>
              <w:rPr>
                <w:b/>
                <w:sz w:val="22"/>
                <w:szCs w:val="22"/>
                <w:lang w:eastAsia="uk-UA"/>
              </w:rPr>
              <w:t>48 536,0</w:t>
            </w:r>
          </w:p>
        </w:tc>
      </w:tr>
      <w:tr w:rsidR="00427B6D" w:rsidRPr="00D71B85" w:rsidTr="00606BCD">
        <w:tc>
          <w:tcPr>
            <w:tcW w:w="325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both"/>
              <w:rPr>
                <w:i/>
                <w:sz w:val="22"/>
                <w:szCs w:val="22"/>
                <w:lang w:eastAsia="uk-UA"/>
              </w:rPr>
            </w:pPr>
            <w:r w:rsidRPr="00D71B85">
              <w:rPr>
                <w:i/>
                <w:sz w:val="22"/>
                <w:szCs w:val="22"/>
                <w:lang w:eastAsia="uk-UA"/>
              </w:rPr>
              <w:t>Земельний податок з юридичних осіб</w:t>
            </w:r>
          </w:p>
        </w:tc>
        <w:tc>
          <w:tcPr>
            <w:tcW w:w="2126" w:type="dxa"/>
            <w:tcBorders>
              <w:top w:val="single" w:sz="4" w:space="0" w:color="auto"/>
              <w:left w:val="single" w:sz="4" w:space="0" w:color="auto"/>
              <w:bottom w:val="single" w:sz="4" w:space="0" w:color="auto"/>
              <w:right w:val="single" w:sz="4" w:space="0" w:color="auto"/>
            </w:tcBorders>
          </w:tcPr>
          <w:p w:rsidR="00427B6D" w:rsidRPr="00D71B85" w:rsidRDefault="00427B6D" w:rsidP="00606BCD">
            <w:pPr>
              <w:tabs>
                <w:tab w:val="left" w:pos="0"/>
              </w:tabs>
              <w:jc w:val="center"/>
              <w:rPr>
                <w:i/>
                <w:sz w:val="22"/>
                <w:szCs w:val="22"/>
                <w:lang w:eastAsia="uk-UA"/>
              </w:rPr>
            </w:pPr>
            <w:r>
              <w:rPr>
                <w:i/>
                <w:sz w:val="22"/>
                <w:szCs w:val="22"/>
                <w:lang w:eastAsia="uk-UA"/>
              </w:rPr>
              <w:t>9 459,0</w:t>
            </w:r>
          </w:p>
          <w:p w:rsidR="00427B6D" w:rsidRPr="00D71B85" w:rsidRDefault="00427B6D" w:rsidP="00606BCD">
            <w:pPr>
              <w:tabs>
                <w:tab w:val="left" w:pos="0"/>
              </w:tabs>
              <w:rPr>
                <w:i/>
                <w:sz w:val="22"/>
                <w:szCs w:val="22"/>
                <w:lang w:eastAsia="uk-UA"/>
              </w:rPr>
            </w:pPr>
          </w:p>
        </w:tc>
        <w:tc>
          <w:tcPr>
            <w:tcW w:w="1984"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Pr>
                <w:i/>
                <w:sz w:val="22"/>
                <w:szCs w:val="22"/>
                <w:lang w:eastAsia="uk-UA"/>
              </w:rPr>
              <w:t>12 100,0</w:t>
            </w:r>
          </w:p>
        </w:tc>
        <w:tc>
          <w:tcPr>
            <w:tcW w:w="1979"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Pr>
                <w:i/>
                <w:sz w:val="22"/>
                <w:szCs w:val="22"/>
                <w:lang w:eastAsia="uk-UA"/>
              </w:rPr>
              <w:t>13 500,0</w:t>
            </w:r>
          </w:p>
        </w:tc>
      </w:tr>
      <w:tr w:rsidR="00427B6D" w:rsidRPr="00D71B85" w:rsidTr="00606BCD">
        <w:tc>
          <w:tcPr>
            <w:tcW w:w="325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both"/>
              <w:rPr>
                <w:i/>
                <w:sz w:val="22"/>
                <w:szCs w:val="22"/>
                <w:lang w:eastAsia="uk-UA"/>
              </w:rPr>
            </w:pPr>
            <w:r w:rsidRPr="00D71B85">
              <w:rPr>
                <w:i/>
                <w:sz w:val="22"/>
                <w:szCs w:val="22"/>
                <w:lang w:eastAsia="uk-UA"/>
              </w:rPr>
              <w:t>Орендна плата з юридичних осіб</w:t>
            </w:r>
          </w:p>
        </w:tc>
        <w:tc>
          <w:tcPr>
            <w:tcW w:w="212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sidRPr="00D71B85">
              <w:rPr>
                <w:i/>
                <w:sz w:val="22"/>
                <w:szCs w:val="22"/>
                <w:lang w:eastAsia="uk-UA"/>
              </w:rPr>
              <w:t>2</w:t>
            </w:r>
            <w:r>
              <w:rPr>
                <w:i/>
                <w:sz w:val="22"/>
                <w:szCs w:val="22"/>
                <w:lang w:eastAsia="uk-UA"/>
              </w:rPr>
              <w:t>1 704,0</w:t>
            </w:r>
          </w:p>
        </w:tc>
        <w:tc>
          <w:tcPr>
            <w:tcW w:w="1984"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sidRPr="00D71B85">
              <w:rPr>
                <w:i/>
                <w:sz w:val="22"/>
                <w:szCs w:val="22"/>
                <w:lang w:eastAsia="uk-UA"/>
              </w:rPr>
              <w:t>2</w:t>
            </w:r>
            <w:r>
              <w:rPr>
                <w:i/>
                <w:sz w:val="22"/>
                <w:szCs w:val="22"/>
                <w:lang w:eastAsia="uk-UA"/>
              </w:rPr>
              <w:t>4 620,0</w:t>
            </w:r>
          </w:p>
        </w:tc>
        <w:tc>
          <w:tcPr>
            <w:tcW w:w="1979"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Pr>
                <w:i/>
                <w:sz w:val="22"/>
                <w:szCs w:val="22"/>
                <w:lang w:eastAsia="uk-UA"/>
              </w:rPr>
              <w:t>28 000,0</w:t>
            </w:r>
          </w:p>
        </w:tc>
      </w:tr>
      <w:tr w:rsidR="00427B6D" w:rsidRPr="00D71B85" w:rsidTr="00606BCD">
        <w:tc>
          <w:tcPr>
            <w:tcW w:w="325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both"/>
              <w:rPr>
                <w:i/>
                <w:sz w:val="22"/>
                <w:szCs w:val="22"/>
                <w:lang w:eastAsia="uk-UA"/>
              </w:rPr>
            </w:pPr>
            <w:r w:rsidRPr="00D71B85">
              <w:rPr>
                <w:i/>
                <w:sz w:val="22"/>
                <w:szCs w:val="22"/>
                <w:lang w:eastAsia="uk-UA"/>
              </w:rPr>
              <w:t>Земельний податок з фізичних осіб</w:t>
            </w:r>
          </w:p>
        </w:tc>
        <w:tc>
          <w:tcPr>
            <w:tcW w:w="212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sidRPr="00D71B85">
              <w:rPr>
                <w:i/>
                <w:sz w:val="22"/>
                <w:szCs w:val="22"/>
                <w:lang w:eastAsia="uk-UA"/>
              </w:rPr>
              <w:t>5</w:t>
            </w:r>
            <w:r>
              <w:rPr>
                <w:i/>
                <w:sz w:val="22"/>
                <w:szCs w:val="22"/>
                <w:lang w:eastAsia="uk-UA"/>
              </w:rPr>
              <w:t>44,7</w:t>
            </w:r>
          </w:p>
        </w:tc>
        <w:tc>
          <w:tcPr>
            <w:tcW w:w="1984"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Pr>
                <w:i/>
                <w:sz w:val="22"/>
                <w:szCs w:val="22"/>
                <w:lang w:eastAsia="uk-UA"/>
              </w:rPr>
              <w:t>825,0</w:t>
            </w:r>
          </w:p>
        </w:tc>
        <w:tc>
          <w:tcPr>
            <w:tcW w:w="1979"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Pr>
                <w:i/>
                <w:sz w:val="22"/>
                <w:szCs w:val="22"/>
                <w:lang w:eastAsia="uk-UA"/>
              </w:rPr>
              <w:t>8</w:t>
            </w:r>
            <w:r w:rsidRPr="00D71B85">
              <w:rPr>
                <w:i/>
                <w:sz w:val="22"/>
                <w:szCs w:val="22"/>
                <w:lang w:eastAsia="uk-UA"/>
              </w:rPr>
              <w:t>00,0</w:t>
            </w:r>
          </w:p>
        </w:tc>
      </w:tr>
      <w:tr w:rsidR="00427B6D" w:rsidRPr="00D71B85" w:rsidTr="00606BCD">
        <w:tc>
          <w:tcPr>
            <w:tcW w:w="325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both"/>
              <w:rPr>
                <w:i/>
                <w:sz w:val="22"/>
                <w:szCs w:val="22"/>
                <w:lang w:eastAsia="uk-UA"/>
              </w:rPr>
            </w:pPr>
            <w:r w:rsidRPr="00D71B85">
              <w:rPr>
                <w:i/>
                <w:sz w:val="22"/>
                <w:szCs w:val="22"/>
                <w:lang w:eastAsia="uk-UA"/>
              </w:rPr>
              <w:t>Орендна плата з фізичних осіб</w:t>
            </w:r>
          </w:p>
        </w:tc>
        <w:tc>
          <w:tcPr>
            <w:tcW w:w="2126"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sidRPr="00D71B85">
              <w:rPr>
                <w:i/>
                <w:sz w:val="22"/>
                <w:szCs w:val="22"/>
                <w:lang w:eastAsia="uk-UA"/>
              </w:rPr>
              <w:t>4 </w:t>
            </w:r>
            <w:r>
              <w:rPr>
                <w:i/>
                <w:sz w:val="22"/>
                <w:szCs w:val="22"/>
                <w:lang w:eastAsia="uk-UA"/>
              </w:rPr>
              <w:t>3</w:t>
            </w:r>
            <w:r w:rsidRPr="00D71B85">
              <w:rPr>
                <w:i/>
                <w:sz w:val="22"/>
                <w:szCs w:val="22"/>
                <w:lang w:eastAsia="uk-UA"/>
              </w:rPr>
              <w:t>03,</w:t>
            </w:r>
            <w:r>
              <w:rPr>
                <w:i/>
                <w:sz w:val="22"/>
                <w:szCs w:val="22"/>
                <w:lang w:eastAsia="uk-UA"/>
              </w:rPr>
              <w:t>9</w:t>
            </w:r>
          </w:p>
        </w:tc>
        <w:tc>
          <w:tcPr>
            <w:tcW w:w="1984"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Pr>
                <w:i/>
                <w:sz w:val="22"/>
                <w:szCs w:val="22"/>
                <w:lang w:eastAsia="uk-UA"/>
              </w:rPr>
              <w:t>5 280,0</w:t>
            </w:r>
          </w:p>
        </w:tc>
        <w:tc>
          <w:tcPr>
            <w:tcW w:w="1979" w:type="dxa"/>
            <w:tcBorders>
              <w:top w:val="single" w:sz="4" w:space="0" w:color="auto"/>
              <w:left w:val="single" w:sz="4" w:space="0" w:color="auto"/>
              <w:bottom w:val="single" w:sz="4" w:space="0" w:color="auto"/>
              <w:right w:val="single" w:sz="4" w:space="0" w:color="auto"/>
            </w:tcBorders>
            <w:hideMark/>
          </w:tcPr>
          <w:p w:rsidR="00427B6D" w:rsidRPr="00D71B85" w:rsidRDefault="00427B6D" w:rsidP="00606BCD">
            <w:pPr>
              <w:tabs>
                <w:tab w:val="left" w:pos="0"/>
              </w:tabs>
              <w:jc w:val="center"/>
              <w:rPr>
                <w:i/>
                <w:sz w:val="22"/>
                <w:szCs w:val="22"/>
                <w:lang w:eastAsia="uk-UA"/>
              </w:rPr>
            </w:pPr>
            <w:r>
              <w:rPr>
                <w:i/>
                <w:sz w:val="22"/>
                <w:szCs w:val="22"/>
                <w:lang w:eastAsia="uk-UA"/>
              </w:rPr>
              <w:t>6 236,0</w:t>
            </w:r>
          </w:p>
        </w:tc>
      </w:tr>
    </w:tbl>
    <w:p w:rsidR="00427B6D" w:rsidRDefault="00427B6D" w:rsidP="00427B6D">
      <w:pPr>
        <w:ind w:firstLine="708"/>
        <w:jc w:val="both"/>
        <w:rPr>
          <w:szCs w:val="28"/>
        </w:rPr>
      </w:pPr>
    </w:p>
    <w:p w:rsidR="00427B6D" w:rsidRDefault="00427B6D" w:rsidP="00103DCC">
      <w:pPr>
        <w:jc w:val="both"/>
        <w:rPr>
          <w:szCs w:val="28"/>
        </w:rPr>
      </w:pPr>
      <w:r w:rsidRPr="00F43CB1">
        <w:rPr>
          <w:noProof/>
          <w:szCs w:val="28"/>
          <w:lang w:val="ru-RU"/>
        </w:rPr>
        <w:drawing>
          <wp:inline distT="0" distB="0" distL="0" distR="0" wp14:anchorId="4BBF132E" wp14:editId="7C4FB9DA">
            <wp:extent cx="5940425" cy="3341370"/>
            <wp:effectExtent l="0" t="0" r="317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0425" cy="3341370"/>
                    </a:xfrm>
                    <a:prstGeom prst="rect">
                      <a:avLst/>
                    </a:prstGeom>
                  </pic:spPr>
                </pic:pic>
              </a:graphicData>
            </a:graphic>
          </wp:inline>
        </w:drawing>
      </w:r>
    </w:p>
    <w:p w:rsidR="00427B6D" w:rsidRPr="00754EA5" w:rsidRDefault="00427B6D" w:rsidP="00103DCC">
      <w:pPr>
        <w:ind w:firstLine="567"/>
        <w:jc w:val="both"/>
        <w:rPr>
          <w:sz w:val="26"/>
          <w:szCs w:val="26"/>
        </w:rPr>
      </w:pPr>
      <w:r w:rsidRPr="00754EA5">
        <w:rPr>
          <w:sz w:val="26"/>
          <w:szCs w:val="26"/>
        </w:rPr>
        <w:t>Прогноз надходжень плати за землю розраховано із врахуванням підпункту 69.14 пункту 69 підрозділу 10 розділу ХХ Податкового кодексу України, що діє до 31 грудня року наступного за роком, у якому припинено або скасовано воєнний, надзвичайний стан, яким визначено, що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(земельні частки (паї), що розташовані на територіях, на яких ведуться (велися) бойові дії, або на територіях, тимчасово окупованих.</w:t>
      </w:r>
    </w:p>
    <w:p w:rsidR="00427B6D" w:rsidRPr="00754EA5" w:rsidRDefault="00427B6D" w:rsidP="00427B6D">
      <w:pPr>
        <w:ind w:firstLine="708"/>
        <w:jc w:val="center"/>
        <w:rPr>
          <w:b/>
          <w:i/>
          <w:sz w:val="26"/>
          <w:szCs w:val="26"/>
          <w:lang w:val="ru-RU"/>
        </w:rPr>
      </w:pPr>
      <w:r w:rsidRPr="00754EA5">
        <w:rPr>
          <w:b/>
          <w:i/>
          <w:sz w:val="26"/>
          <w:szCs w:val="26"/>
          <w:lang w:val="ru-RU"/>
        </w:rPr>
        <w:t>Єдиний податок</w:t>
      </w:r>
    </w:p>
    <w:p w:rsidR="00427B6D" w:rsidRPr="00103DCC" w:rsidRDefault="00427B6D" w:rsidP="00103DCC">
      <w:pPr>
        <w:ind w:firstLine="567"/>
        <w:jc w:val="both"/>
        <w:rPr>
          <w:sz w:val="26"/>
          <w:szCs w:val="26"/>
        </w:rPr>
      </w:pPr>
      <w:r w:rsidRPr="00103DCC">
        <w:rPr>
          <w:sz w:val="26"/>
          <w:szCs w:val="26"/>
        </w:rPr>
        <w:t>Прогнозна сума єдиного податку на 2026 рік складає 36 700,0 тис. гривень, що на 3 670,0 тис. гривень більше, приріст 11,1% та враховує:</w:t>
      </w:r>
    </w:p>
    <w:p w:rsidR="00427B6D" w:rsidRPr="00103DCC" w:rsidRDefault="00427B6D" w:rsidP="00103DCC">
      <w:pPr>
        <w:ind w:firstLine="567"/>
        <w:jc w:val="both"/>
        <w:rPr>
          <w:sz w:val="26"/>
          <w:szCs w:val="26"/>
        </w:rPr>
      </w:pPr>
      <w:r w:rsidRPr="00103DCC">
        <w:rPr>
          <w:sz w:val="26"/>
          <w:szCs w:val="26"/>
        </w:rPr>
        <w:t>- динаміку надходжень за останні роки;</w:t>
      </w:r>
    </w:p>
    <w:p w:rsidR="00103DCC" w:rsidRDefault="00427B6D" w:rsidP="00103DCC">
      <w:pPr>
        <w:ind w:firstLine="567"/>
        <w:jc w:val="both"/>
        <w:rPr>
          <w:sz w:val="26"/>
          <w:szCs w:val="26"/>
        </w:rPr>
      </w:pPr>
      <w:r w:rsidRPr="00103DCC">
        <w:rPr>
          <w:sz w:val="26"/>
          <w:szCs w:val="26"/>
        </w:rPr>
        <w:lastRenderedPageBreak/>
        <w:t>- збереження кількості платників єдиного податку;</w:t>
      </w:r>
    </w:p>
    <w:p w:rsidR="00103DCC" w:rsidRDefault="00103DCC" w:rsidP="00103DCC">
      <w:pPr>
        <w:ind w:firstLine="567"/>
        <w:jc w:val="both"/>
        <w:rPr>
          <w:sz w:val="26"/>
          <w:szCs w:val="26"/>
        </w:rPr>
      </w:pPr>
      <w:r>
        <w:rPr>
          <w:sz w:val="26"/>
          <w:szCs w:val="26"/>
        </w:rPr>
        <w:t xml:space="preserve">- </w:t>
      </w:r>
      <w:r w:rsidR="00427B6D" w:rsidRPr="00103DCC">
        <w:rPr>
          <w:sz w:val="26"/>
          <w:szCs w:val="26"/>
        </w:rPr>
        <w:t>розмір мінімальної заробітної плати, що становитиме 8 647 гривень:</w:t>
      </w:r>
    </w:p>
    <w:p w:rsidR="00427B6D" w:rsidRPr="00103DCC" w:rsidRDefault="00103DCC" w:rsidP="00103DCC">
      <w:pPr>
        <w:ind w:firstLine="567"/>
        <w:jc w:val="both"/>
        <w:rPr>
          <w:sz w:val="26"/>
          <w:szCs w:val="26"/>
        </w:rPr>
      </w:pPr>
      <w:r>
        <w:rPr>
          <w:sz w:val="26"/>
          <w:szCs w:val="26"/>
        </w:rPr>
        <w:t xml:space="preserve">- </w:t>
      </w:r>
      <w:r w:rsidR="00427B6D" w:rsidRPr="00103DCC">
        <w:rPr>
          <w:sz w:val="26"/>
          <w:szCs w:val="26"/>
        </w:rPr>
        <w:t>розмір прожиткового мінімуму для працездатних осіб – 3 328 грн.</w:t>
      </w:r>
    </w:p>
    <w:p w:rsidR="00103DCC" w:rsidRDefault="00103DCC" w:rsidP="00103DCC">
      <w:pPr>
        <w:shd w:val="clear" w:color="auto" w:fill="FFFFFF"/>
        <w:ind w:firstLine="567"/>
        <w:jc w:val="both"/>
        <w:rPr>
          <w:b/>
          <w:bCs/>
          <w:i/>
          <w:iCs/>
          <w:sz w:val="26"/>
          <w:szCs w:val="26"/>
        </w:rPr>
      </w:pPr>
    </w:p>
    <w:p w:rsidR="00427B6D" w:rsidRPr="00103DCC" w:rsidRDefault="00427B6D" w:rsidP="00103DCC">
      <w:pPr>
        <w:shd w:val="clear" w:color="auto" w:fill="FFFFFF"/>
        <w:ind w:firstLine="567"/>
        <w:jc w:val="both"/>
        <w:rPr>
          <w:sz w:val="26"/>
          <w:szCs w:val="26"/>
        </w:rPr>
      </w:pPr>
      <w:r w:rsidRPr="00103DCC">
        <w:rPr>
          <w:b/>
          <w:bCs/>
          <w:i/>
          <w:iCs/>
          <w:sz w:val="26"/>
          <w:szCs w:val="26"/>
        </w:rPr>
        <w:t>Єдиного податку з юридичних та фізичних осіб</w:t>
      </w:r>
      <w:r w:rsidRPr="00103DCC">
        <w:rPr>
          <w:sz w:val="26"/>
          <w:szCs w:val="26"/>
        </w:rPr>
        <w:t xml:space="preserve">  заплановано отримати в сумі 27 000,0 тис. гривень, що на 3 370,0 тис. гривень більше (приріст 14,3%). При розрахунку прогнозу суми єдиного податку були враховані ставки єдиного податку, які сплачуватимуть ФОП з 1 січня 2026 року:</w:t>
      </w:r>
    </w:p>
    <w:p w:rsidR="00427B6D" w:rsidRPr="00103DCC" w:rsidRDefault="00427B6D" w:rsidP="00103DCC">
      <w:pPr>
        <w:shd w:val="clear" w:color="auto" w:fill="FFFFFF"/>
        <w:ind w:firstLine="567"/>
        <w:jc w:val="both"/>
        <w:rPr>
          <w:sz w:val="26"/>
          <w:szCs w:val="26"/>
        </w:rPr>
      </w:pPr>
      <w:r w:rsidRPr="00103DCC">
        <w:rPr>
          <w:sz w:val="26"/>
          <w:szCs w:val="26"/>
        </w:rPr>
        <w:t>ФОП І групи - 332,80 грн. на місяць;</w:t>
      </w:r>
    </w:p>
    <w:p w:rsidR="00427B6D" w:rsidRPr="00103DCC" w:rsidRDefault="00427B6D" w:rsidP="00103DCC">
      <w:pPr>
        <w:shd w:val="clear" w:color="auto" w:fill="FFFFFF"/>
        <w:ind w:firstLine="567"/>
        <w:jc w:val="both"/>
        <w:rPr>
          <w:sz w:val="26"/>
          <w:szCs w:val="26"/>
        </w:rPr>
      </w:pPr>
      <w:r w:rsidRPr="00103DCC">
        <w:rPr>
          <w:sz w:val="26"/>
          <w:szCs w:val="26"/>
        </w:rPr>
        <w:t>ФОП  ІІ групи -  1 729,40 грн. на місяць;</w:t>
      </w:r>
    </w:p>
    <w:p w:rsidR="00427B6D" w:rsidRPr="00103DCC" w:rsidRDefault="00427B6D" w:rsidP="00103DCC">
      <w:pPr>
        <w:ind w:firstLine="567"/>
        <w:jc w:val="both"/>
        <w:rPr>
          <w:sz w:val="26"/>
          <w:szCs w:val="26"/>
        </w:rPr>
      </w:pPr>
      <w:r w:rsidRPr="00103DCC">
        <w:rPr>
          <w:sz w:val="26"/>
          <w:szCs w:val="26"/>
        </w:rPr>
        <w:t>ФОП  ІІІ групи - відсоткова ставка 5% доходу, або 3% доходу у разі сплати ПДВ.</w:t>
      </w:r>
    </w:p>
    <w:p w:rsidR="00427B6D" w:rsidRPr="00103DCC" w:rsidRDefault="00427B6D" w:rsidP="00103DCC">
      <w:pPr>
        <w:ind w:firstLine="567"/>
        <w:jc w:val="both"/>
        <w:rPr>
          <w:sz w:val="26"/>
          <w:szCs w:val="26"/>
        </w:rPr>
      </w:pPr>
      <w:r w:rsidRPr="00103DCC">
        <w:rPr>
          <w:b/>
          <w:bCs/>
          <w:i/>
          <w:iCs/>
          <w:sz w:val="26"/>
          <w:szCs w:val="26"/>
        </w:rPr>
        <w:t>Єдиного податку з сільськогосподарських товаровиробників, у яких частка сільськогосподарського товаровиробництва</w:t>
      </w:r>
      <w:r w:rsidRPr="00103DCC">
        <w:rPr>
          <w:sz w:val="26"/>
          <w:szCs w:val="26"/>
        </w:rPr>
        <w:t xml:space="preserve"> за попередній податковий (звітний) рік дорівнює або перевищує 75 відсотків заплановано в сумі 9 700,0 тис. гривень, що на 300,0 тис. гривень більше.  </w:t>
      </w:r>
    </w:p>
    <w:p w:rsidR="00427B6D" w:rsidRDefault="00427B6D" w:rsidP="00427B6D">
      <w:pPr>
        <w:ind w:firstLine="708"/>
        <w:jc w:val="center"/>
        <w:rPr>
          <w:b/>
          <w:bCs/>
          <w:szCs w:val="28"/>
        </w:rPr>
      </w:pPr>
      <w:r>
        <w:rPr>
          <w:b/>
          <w:bCs/>
          <w:szCs w:val="28"/>
        </w:rPr>
        <w:t xml:space="preserve"> </w:t>
      </w:r>
    </w:p>
    <w:p w:rsidR="00427B6D" w:rsidRDefault="00427B6D" w:rsidP="00103DCC">
      <w:pPr>
        <w:jc w:val="center"/>
        <w:rPr>
          <w:b/>
          <w:bCs/>
          <w:szCs w:val="28"/>
        </w:rPr>
      </w:pPr>
      <w:r w:rsidRPr="0001223D">
        <w:rPr>
          <w:b/>
          <w:bCs/>
          <w:noProof/>
          <w:szCs w:val="28"/>
          <w:lang w:val="ru-RU"/>
        </w:rPr>
        <w:drawing>
          <wp:inline distT="0" distB="0" distL="0" distR="0" wp14:anchorId="1999E0DA" wp14:editId="3F53BA07">
            <wp:extent cx="5810250" cy="334137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10250" cy="3341370"/>
                    </a:xfrm>
                    <a:prstGeom prst="rect">
                      <a:avLst/>
                    </a:prstGeom>
                  </pic:spPr>
                </pic:pic>
              </a:graphicData>
            </a:graphic>
          </wp:inline>
        </w:drawing>
      </w:r>
    </w:p>
    <w:p w:rsidR="00427B6D" w:rsidRDefault="00427B6D" w:rsidP="00427B6D">
      <w:pPr>
        <w:ind w:firstLine="708"/>
        <w:jc w:val="center"/>
        <w:rPr>
          <w:b/>
          <w:bCs/>
          <w:szCs w:val="28"/>
        </w:rPr>
      </w:pPr>
    </w:p>
    <w:p w:rsidR="00427B6D" w:rsidRPr="00754EA5" w:rsidRDefault="00427B6D" w:rsidP="00427B6D">
      <w:pPr>
        <w:ind w:firstLine="708"/>
        <w:jc w:val="center"/>
        <w:rPr>
          <w:b/>
          <w:bCs/>
          <w:sz w:val="26"/>
          <w:szCs w:val="26"/>
        </w:rPr>
      </w:pPr>
      <w:r w:rsidRPr="00754EA5">
        <w:rPr>
          <w:b/>
          <w:bCs/>
          <w:sz w:val="26"/>
          <w:szCs w:val="26"/>
        </w:rPr>
        <w:t>«Акцизний податок»</w:t>
      </w:r>
    </w:p>
    <w:p w:rsidR="00427B6D" w:rsidRPr="00754EA5" w:rsidRDefault="00427B6D" w:rsidP="00103DCC">
      <w:pPr>
        <w:ind w:firstLine="567"/>
        <w:jc w:val="both"/>
        <w:rPr>
          <w:bCs/>
          <w:sz w:val="26"/>
          <w:szCs w:val="26"/>
        </w:rPr>
      </w:pPr>
      <w:r w:rsidRPr="00754EA5">
        <w:rPr>
          <w:bCs/>
          <w:sz w:val="26"/>
          <w:szCs w:val="26"/>
        </w:rPr>
        <w:t>Акцизний податок з реалізації суб’єктами господарювання роздрібної торгівлі підакцизних товарів зараховується до місцевих бюджетів відповідно до пункту 16 Бюджетного  кодексу України та підпункту 215.3.10 пункту 215.3 статті 215 Податкового кодексу України за встановленою ставкою в розмірі 5%.</w:t>
      </w:r>
    </w:p>
    <w:p w:rsidR="00427B6D" w:rsidRPr="00754EA5" w:rsidRDefault="00427B6D" w:rsidP="00103DCC">
      <w:pPr>
        <w:ind w:firstLine="567"/>
        <w:jc w:val="both"/>
        <w:rPr>
          <w:bCs/>
          <w:sz w:val="26"/>
          <w:szCs w:val="26"/>
        </w:rPr>
      </w:pPr>
      <w:r w:rsidRPr="00754EA5">
        <w:rPr>
          <w:bCs/>
          <w:sz w:val="26"/>
          <w:szCs w:val="26"/>
        </w:rPr>
        <w:t xml:space="preserve">Прогнозні показники </w:t>
      </w:r>
      <w:r w:rsidRPr="00754EA5">
        <w:rPr>
          <w:bCs/>
          <w:i/>
          <w:sz w:val="26"/>
          <w:szCs w:val="26"/>
        </w:rPr>
        <w:t xml:space="preserve">акцизного податку з реалізації виробниками та/або імпортерами, у тому числі в роздрібній торгівлі тютюнових виробів </w:t>
      </w:r>
      <w:r w:rsidRPr="00754EA5">
        <w:rPr>
          <w:bCs/>
          <w:sz w:val="26"/>
          <w:szCs w:val="26"/>
        </w:rPr>
        <w:t xml:space="preserve">визначені в сумі 7 500,0 тис. гривень, що на 1 340,0 тис. гривень більше очікуваних надходжень 2025 року та </w:t>
      </w:r>
      <w:r w:rsidRPr="00754EA5">
        <w:rPr>
          <w:bCs/>
          <w:i/>
          <w:iCs/>
          <w:sz w:val="26"/>
          <w:szCs w:val="26"/>
        </w:rPr>
        <w:t>акцизний податок з реалізації суб`єктами господарювання роздрібної торгівлі підакцизних товарів</w:t>
      </w:r>
      <w:r w:rsidRPr="00754EA5">
        <w:rPr>
          <w:bCs/>
          <w:sz w:val="26"/>
          <w:szCs w:val="26"/>
        </w:rPr>
        <w:t xml:space="preserve"> обрахований в обсязі 4 200,0 тис. гривень, що на 400,0 тис. гривень більше.</w:t>
      </w:r>
    </w:p>
    <w:p w:rsidR="00427B6D" w:rsidRDefault="00427B6D" w:rsidP="00427B6D">
      <w:pPr>
        <w:jc w:val="both"/>
        <w:rPr>
          <w:bCs/>
          <w:szCs w:val="28"/>
        </w:rPr>
      </w:pPr>
      <w:r w:rsidRPr="00541712">
        <w:rPr>
          <w:bCs/>
          <w:noProof/>
          <w:szCs w:val="28"/>
          <w:lang w:val="ru-RU"/>
        </w:rPr>
        <w:lastRenderedPageBreak/>
        <w:drawing>
          <wp:inline distT="0" distB="0" distL="0" distR="0" wp14:anchorId="0A14662E" wp14:editId="4BA098B3">
            <wp:extent cx="5940425" cy="3341370"/>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0425" cy="3341370"/>
                    </a:xfrm>
                    <a:prstGeom prst="rect">
                      <a:avLst/>
                    </a:prstGeom>
                  </pic:spPr>
                </pic:pic>
              </a:graphicData>
            </a:graphic>
          </wp:inline>
        </w:drawing>
      </w:r>
      <w:r>
        <w:rPr>
          <w:bCs/>
          <w:szCs w:val="28"/>
        </w:rPr>
        <w:t xml:space="preserve"> </w:t>
      </w:r>
    </w:p>
    <w:p w:rsidR="00103DCC" w:rsidRDefault="00103DCC" w:rsidP="00427B6D">
      <w:pPr>
        <w:ind w:firstLine="708"/>
        <w:jc w:val="both"/>
        <w:rPr>
          <w:bCs/>
          <w:sz w:val="26"/>
          <w:szCs w:val="26"/>
        </w:rPr>
      </w:pPr>
    </w:p>
    <w:p w:rsidR="00427B6D" w:rsidRPr="00754EA5" w:rsidRDefault="00427B6D" w:rsidP="00103DCC">
      <w:pPr>
        <w:ind w:firstLine="567"/>
        <w:jc w:val="both"/>
        <w:rPr>
          <w:bCs/>
          <w:sz w:val="26"/>
          <w:szCs w:val="26"/>
        </w:rPr>
      </w:pPr>
      <w:r w:rsidRPr="00754EA5">
        <w:rPr>
          <w:bCs/>
          <w:sz w:val="26"/>
          <w:szCs w:val="26"/>
        </w:rPr>
        <w:t>Крім того, 13,44% акцизного податку з виробленого в Україні та ввезеного на митну територію України пального та відповідно до пункту 16</w:t>
      </w:r>
      <w:r w:rsidRPr="00754EA5">
        <w:rPr>
          <w:bCs/>
          <w:sz w:val="26"/>
          <w:szCs w:val="26"/>
          <w:vertAlign w:val="superscript"/>
        </w:rPr>
        <w:t>1</w:t>
      </w:r>
      <w:r w:rsidRPr="00754EA5">
        <w:rPr>
          <w:bCs/>
          <w:sz w:val="26"/>
          <w:szCs w:val="26"/>
        </w:rPr>
        <w:t xml:space="preserve"> частини першої статті 64 Бюджетного кодексу України 13,44% акцизного податку з виробленого в Україні пального зараховується до загального фонду бюджету.</w:t>
      </w:r>
    </w:p>
    <w:p w:rsidR="00427B6D" w:rsidRPr="00754EA5" w:rsidRDefault="00427B6D" w:rsidP="00103DCC">
      <w:pPr>
        <w:ind w:firstLine="567"/>
        <w:jc w:val="both"/>
        <w:rPr>
          <w:bCs/>
          <w:sz w:val="26"/>
          <w:szCs w:val="26"/>
        </w:rPr>
      </w:pPr>
      <w:r w:rsidRPr="00754EA5">
        <w:rPr>
          <w:bCs/>
          <w:sz w:val="26"/>
          <w:szCs w:val="26"/>
        </w:rPr>
        <w:t>Прогнозні надходження акцизного податку з вироблених та ввезених в Україну підакцизних товарів (пального) визначено в сумі 14 300,0 тис. гривень, що на 3 740,0 тис. гривень більше.</w:t>
      </w:r>
    </w:p>
    <w:p w:rsidR="00427B6D" w:rsidRPr="00754EA5" w:rsidRDefault="00427B6D" w:rsidP="00427B6D">
      <w:pPr>
        <w:ind w:firstLine="708"/>
        <w:jc w:val="both"/>
        <w:rPr>
          <w:bCs/>
          <w:sz w:val="26"/>
          <w:szCs w:val="26"/>
        </w:rPr>
      </w:pPr>
    </w:p>
    <w:p w:rsidR="00427B6D" w:rsidRPr="002C7D75" w:rsidRDefault="00427B6D" w:rsidP="00103DCC">
      <w:pPr>
        <w:jc w:val="center"/>
        <w:rPr>
          <w:b/>
          <w:i/>
          <w:sz w:val="26"/>
          <w:szCs w:val="26"/>
        </w:rPr>
      </w:pPr>
      <w:r w:rsidRPr="002C7D75">
        <w:rPr>
          <w:b/>
          <w:i/>
          <w:sz w:val="26"/>
          <w:szCs w:val="26"/>
        </w:rPr>
        <w:t>Динаміка надходжень акцизного податку з пального</w:t>
      </w:r>
    </w:p>
    <w:p w:rsidR="00427B6D" w:rsidRDefault="00427B6D" w:rsidP="00427B6D">
      <w:pPr>
        <w:tabs>
          <w:tab w:val="left" w:pos="0"/>
        </w:tabs>
        <w:jc w:val="right"/>
        <w:rPr>
          <w:sz w:val="22"/>
          <w:szCs w:val="22"/>
        </w:rPr>
      </w:pPr>
      <w:r>
        <w:rPr>
          <w:sz w:val="22"/>
          <w:szCs w:val="22"/>
        </w:rPr>
        <w:t>тис.</w:t>
      </w:r>
      <w:r>
        <w:rPr>
          <w:sz w:val="22"/>
          <w:szCs w:val="22"/>
          <w:lang w:val="ru-RU"/>
        </w:rPr>
        <w:t xml:space="preserve"> </w:t>
      </w:r>
      <w:r>
        <w:rPr>
          <w:sz w:val="22"/>
          <w:szCs w:val="22"/>
        </w:rPr>
        <w:t>гривень</w:t>
      </w:r>
    </w:p>
    <w:tbl>
      <w:tblPr>
        <w:tblStyle w:val="a6"/>
        <w:tblW w:w="0" w:type="auto"/>
        <w:tblInd w:w="0" w:type="dxa"/>
        <w:tblLook w:val="04A0" w:firstRow="1" w:lastRow="0" w:firstColumn="1" w:lastColumn="0" w:noHBand="0" w:noVBand="1"/>
      </w:tblPr>
      <w:tblGrid>
        <w:gridCol w:w="3256"/>
        <w:gridCol w:w="2126"/>
        <w:gridCol w:w="1984"/>
        <w:gridCol w:w="1979"/>
      </w:tblGrid>
      <w:tr w:rsidR="00427B6D" w:rsidTr="00606BCD">
        <w:tc>
          <w:tcPr>
            <w:tcW w:w="3256"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Показники</w:t>
            </w:r>
          </w:p>
        </w:tc>
        <w:tc>
          <w:tcPr>
            <w:tcW w:w="2126"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 xml:space="preserve">Факт 2024 року </w:t>
            </w:r>
          </w:p>
        </w:tc>
        <w:tc>
          <w:tcPr>
            <w:tcW w:w="1984"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Очікуване за 2025 рік</w:t>
            </w:r>
          </w:p>
        </w:tc>
        <w:tc>
          <w:tcPr>
            <w:tcW w:w="1979"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Прогноз на 2026 рік</w:t>
            </w:r>
          </w:p>
        </w:tc>
      </w:tr>
      <w:tr w:rsidR="00427B6D" w:rsidTr="00606BCD">
        <w:tc>
          <w:tcPr>
            <w:tcW w:w="3256"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both"/>
              <w:rPr>
                <w:b/>
                <w:sz w:val="22"/>
                <w:szCs w:val="22"/>
                <w:lang w:eastAsia="uk-UA"/>
              </w:rPr>
            </w:pPr>
            <w:r>
              <w:rPr>
                <w:b/>
                <w:sz w:val="22"/>
                <w:szCs w:val="22"/>
                <w:lang w:eastAsia="uk-UA"/>
              </w:rPr>
              <w:t>Обсяг надходжень до бюджету Тростянецької МТГ всього,</w:t>
            </w:r>
          </w:p>
          <w:p w:rsidR="00427B6D" w:rsidRDefault="00427B6D" w:rsidP="00606BCD">
            <w:pPr>
              <w:tabs>
                <w:tab w:val="left" w:pos="0"/>
              </w:tabs>
              <w:jc w:val="both"/>
              <w:rPr>
                <w:b/>
                <w:sz w:val="22"/>
                <w:szCs w:val="22"/>
                <w:lang w:eastAsia="uk-UA"/>
              </w:rPr>
            </w:pPr>
            <w:r>
              <w:rPr>
                <w:b/>
                <w:sz w:val="22"/>
                <w:szCs w:val="22"/>
                <w:lang w:eastAsia="uk-UA"/>
              </w:rPr>
              <w:t>у тому числі:</w:t>
            </w:r>
          </w:p>
        </w:tc>
        <w:tc>
          <w:tcPr>
            <w:tcW w:w="2126"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b/>
                <w:sz w:val="22"/>
                <w:szCs w:val="22"/>
                <w:lang w:eastAsia="uk-UA"/>
              </w:rPr>
            </w:pPr>
            <w:r>
              <w:rPr>
                <w:b/>
                <w:sz w:val="22"/>
                <w:szCs w:val="22"/>
                <w:lang w:eastAsia="uk-UA"/>
              </w:rPr>
              <w:t>7 403,6</w:t>
            </w:r>
          </w:p>
        </w:tc>
        <w:tc>
          <w:tcPr>
            <w:tcW w:w="1984"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b/>
                <w:sz w:val="22"/>
                <w:szCs w:val="22"/>
                <w:lang w:eastAsia="uk-UA"/>
              </w:rPr>
            </w:pPr>
            <w:r>
              <w:rPr>
                <w:b/>
                <w:sz w:val="22"/>
                <w:szCs w:val="22"/>
                <w:lang w:eastAsia="uk-UA"/>
              </w:rPr>
              <w:t>10 560,0</w:t>
            </w:r>
          </w:p>
        </w:tc>
        <w:tc>
          <w:tcPr>
            <w:tcW w:w="1979"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b/>
                <w:sz w:val="22"/>
                <w:szCs w:val="22"/>
                <w:lang w:eastAsia="uk-UA"/>
              </w:rPr>
            </w:pPr>
            <w:r>
              <w:rPr>
                <w:b/>
                <w:sz w:val="22"/>
                <w:szCs w:val="22"/>
                <w:lang w:eastAsia="uk-UA"/>
              </w:rPr>
              <w:t>14 300,0</w:t>
            </w:r>
          </w:p>
        </w:tc>
      </w:tr>
      <w:tr w:rsidR="00427B6D" w:rsidTr="00606BCD">
        <w:tc>
          <w:tcPr>
            <w:tcW w:w="3256"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both"/>
              <w:rPr>
                <w:i/>
                <w:sz w:val="22"/>
                <w:szCs w:val="22"/>
                <w:lang w:eastAsia="uk-UA"/>
              </w:rPr>
            </w:pPr>
            <w:r>
              <w:rPr>
                <w:i/>
                <w:sz w:val="22"/>
                <w:szCs w:val="22"/>
                <w:lang w:eastAsia="uk-UA"/>
              </w:rPr>
              <w:t>Акцизний податок з вироблених в Україні підакцизних товарів (ККД 14021900)</w:t>
            </w:r>
          </w:p>
        </w:tc>
        <w:tc>
          <w:tcPr>
            <w:tcW w:w="2126" w:type="dxa"/>
            <w:tcBorders>
              <w:top w:val="single" w:sz="4" w:space="0" w:color="auto"/>
              <w:left w:val="single" w:sz="4" w:space="0" w:color="auto"/>
              <w:bottom w:val="single" w:sz="4" w:space="0" w:color="auto"/>
              <w:right w:val="single" w:sz="4" w:space="0" w:color="auto"/>
            </w:tcBorders>
          </w:tcPr>
          <w:p w:rsidR="00427B6D" w:rsidRDefault="00427B6D" w:rsidP="00606BCD">
            <w:pPr>
              <w:tabs>
                <w:tab w:val="left" w:pos="0"/>
              </w:tabs>
              <w:jc w:val="center"/>
              <w:rPr>
                <w:i/>
                <w:sz w:val="22"/>
                <w:szCs w:val="22"/>
                <w:lang w:eastAsia="uk-UA"/>
              </w:rPr>
            </w:pPr>
            <w:r>
              <w:rPr>
                <w:i/>
                <w:sz w:val="22"/>
                <w:szCs w:val="22"/>
                <w:lang w:eastAsia="uk-UA"/>
              </w:rPr>
              <w:t>1 033,0</w:t>
            </w:r>
          </w:p>
          <w:p w:rsidR="00427B6D" w:rsidRDefault="00427B6D" w:rsidP="00606BCD">
            <w:pPr>
              <w:tabs>
                <w:tab w:val="left" w:pos="0"/>
              </w:tabs>
              <w:rPr>
                <w:i/>
                <w:sz w:val="22"/>
                <w:szCs w:val="22"/>
                <w:lang w:eastAsia="uk-UA"/>
              </w:rPr>
            </w:pPr>
          </w:p>
        </w:tc>
        <w:tc>
          <w:tcPr>
            <w:tcW w:w="1984"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i/>
                <w:sz w:val="22"/>
                <w:szCs w:val="22"/>
                <w:lang w:eastAsia="uk-UA"/>
              </w:rPr>
            </w:pPr>
            <w:r>
              <w:rPr>
                <w:i/>
                <w:sz w:val="22"/>
                <w:szCs w:val="22"/>
                <w:lang w:eastAsia="uk-UA"/>
              </w:rPr>
              <w:t>1 100,0</w:t>
            </w:r>
          </w:p>
        </w:tc>
        <w:tc>
          <w:tcPr>
            <w:tcW w:w="1979"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i/>
                <w:sz w:val="22"/>
                <w:szCs w:val="22"/>
                <w:lang w:eastAsia="uk-UA"/>
              </w:rPr>
            </w:pPr>
            <w:r>
              <w:rPr>
                <w:i/>
                <w:sz w:val="22"/>
                <w:szCs w:val="22"/>
                <w:lang w:eastAsia="uk-UA"/>
              </w:rPr>
              <w:t>1 300,0</w:t>
            </w:r>
          </w:p>
        </w:tc>
      </w:tr>
      <w:tr w:rsidR="00427B6D" w:rsidTr="00606BCD">
        <w:tc>
          <w:tcPr>
            <w:tcW w:w="3256"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both"/>
              <w:rPr>
                <w:i/>
                <w:sz w:val="22"/>
                <w:szCs w:val="22"/>
                <w:lang w:eastAsia="uk-UA"/>
              </w:rPr>
            </w:pPr>
            <w:r>
              <w:rPr>
                <w:i/>
                <w:sz w:val="22"/>
                <w:szCs w:val="22"/>
                <w:lang w:eastAsia="uk-UA"/>
              </w:rPr>
              <w:t>Акцизний податок з ввезених на митну територію України підакцизних (ККД 14031900)</w:t>
            </w:r>
          </w:p>
        </w:tc>
        <w:tc>
          <w:tcPr>
            <w:tcW w:w="2126"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i/>
                <w:sz w:val="22"/>
                <w:szCs w:val="22"/>
                <w:lang w:eastAsia="uk-UA"/>
              </w:rPr>
            </w:pPr>
            <w:r>
              <w:rPr>
                <w:i/>
                <w:sz w:val="22"/>
                <w:szCs w:val="22"/>
                <w:lang w:eastAsia="uk-UA"/>
              </w:rPr>
              <w:t>6 370,6</w:t>
            </w:r>
          </w:p>
        </w:tc>
        <w:tc>
          <w:tcPr>
            <w:tcW w:w="1984"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i/>
                <w:sz w:val="22"/>
                <w:szCs w:val="22"/>
                <w:lang w:eastAsia="uk-UA"/>
              </w:rPr>
            </w:pPr>
            <w:r>
              <w:rPr>
                <w:i/>
                <w:sz w:val="22"/>
                <w:szCs w:val="22"/>
                <w:lang w:eastAsia="uk-UA"/>
              </w:rPr>
              <w:t>9 460,0</w:t>
            </w:r>
          </w:p>
        </w:tc>
        <w:tc>
          <w:tcPr>
            <w:tcW w:w="1979"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i/>
                <w:sz w:val="22"/>
                <w:szCs w:val="22"/>
                <w:lang w:eastAsia="uk-UA"/>
              </w:rPr>
            </w:pPr>
            <w:r>
              <w:rPr>
                <w:i/>
                <w:sz w:val="22"/>
                <w:szCs w:val="22"/>
                <w:lang w:eastAsia="uk-UA"/>
              </w:rPr>
              <w:t>13 000,0</w:t>
            </w:r>
          </w:p>
        </w:tc>
      </w:tr>
    </w:tbl>
    <w:p w:rsidR="00427B6D" w:rsidRDefault="00427B6D" w:rsidP="00427B6D">
      <w:pPr>
        <w:jc w:val="center"/>
        <w:rPr>
          <w:szCs w:val="28"/>
          <w:lang w:val="ru-RU"/>
        </w:rPr>
      </w:pPr>
      <w:r w:rsidRPr="00350FD0">
        <w:rPr>
          <w:noProof/>
          <w:szCs w:val="28"/>
          <w:lang w:val="ru-RU"/>
        </w:rPr>
        <w:lastRenderedPageBreak/>
        <w:drawing>
          <wp:inline distT="0" distB="0" distL="0" distR="0" wp14:anchorId="6B0EE863" wp14:editId="35F6043E">
            <wp:extent cx="5648325" cy="334137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48325" cy="3341370"/>
                    </a:xfrm>
                    <a:prstGeom prst="rect">
                      <a:avLst/>
                    </a:prstGeom>
                  </pic:spPr>
                </pic:pic>
              </a:graphicData>
            </a:graphic>
          </wp:inline>
        </w:drawing>
      </w:r>
    </w:p>
    <w:p w:rsidR="00427B6D" w:rsidRPr="00754EA5" w:rsidRDefault="00427B6D" w:rsidP="00427B6D">
      <w:pPr>
        <w:ind w:firstLine="708"/>
        <w:jc w:val="center"/>
        <w:rPr>
          <w:b/>
          <w:bCs/>
          <w:sz w:val="26"/>
          <w:szCs w:val="26"/>
        </w:rPr>
      </w:pPr>
    </w:p>
    <w:p w:rsidR="00427B6D" w:rsidRPr="00754EA5" w:rsidRDefault="00427B6D" w:rsidP="00103DCC">
      <w:pPr>
        <w:jc w:val="center"/>
        <w:rPr>
          <w:b/>
          <w:bCs/>
          <w:sz w:val="26"/>
          <w:szCs w:val="26"/>
        </w:rPr>
      </w:pPr>
      <w:r w:rsidRPr="00754EA5">
        <w:rPr>
          <w:b/>
          <w:bCs/>
          <w:sz w:val="26"/>
          <w:szCs w:val="26"/>
        </w:rPr>
        <w:t>«Рентна плата та плата за використання інших природних ресурсів»</w:t>
      </w:r>
    </w:p>
    <w:p w:rsidR="00427B6D" w:rsidRPr="00754EA5" w:rsidRDefault="00427B6D" w:rsidP="00427B6D">
      <w:pPr>
        <w:ind w:firstLine="708"/>
        <w:jc w:val="center"/>
        <w:rPr>
          <w:b/>
          <w:bCs/>
          <w:sz w:val="26"/>
          <w:szCs w:val="26"/>
        </w:rPr>
      </w:pPr>
    </w:p>
    <w:p w:rsidR="00427B6D" w:rsidRPr="00754EA5" w:rsidRDefault="00427B6D" w:rsidP="00103DCC">
      <w:pPr>
        <w:ind w:firstLine="567"/>
        <w:jc w:val="both"/>
        <w:rPr>
          <w:bCs/>
          <w:iCs/>
          <w:sz w:val="26"/>
          <w:szCs w:val="26"/>
        </w:rPr>
      </w:pPr>
      <w:r w:rsidRPr="00754EA5">
        <w:rPr>
          <w:bCs/>
          <w:iCs/>
          <w:sz w:val="26"/>
          <w:szCs w:val="26"/>
        </w:rPr>
        <w:t>Розрахунок показника рентної плати за спеціальне використання лісових ресурсів на 2026 рік здійснено із врахуванням очікуваних надходжень, термінів сплати, а також аналізу динаміки надходжень у попередніх періодах та без застосування індексації ставок, визначених в абсолютних значеннях.</w:t>
      </w:r>
    </w:p>
    <w:p w:rsidR="00427B6D" w:rsidRPr="00754EA5" w:rsidRDefault="00427B6D" w:rsidP="00103DCC">
      <w:pPr>
        <w:ind w:firstLine="567"/>
        <w:jc w:val="both"/>
        <w:rPr>
          <w:bCs/>
          <w:sz w:val="26"/>
          <w:szCs w:val="26"/>
        </w:rPr>
      </w:pPr>
      <w:r w:rsidRPr="00754EA5">
        <w:rPr>
          <w:bCs/>
          <w:i/>
          <w:sz w:val="26"/>
          <w:szCs w:val="26"/>
        </w:rPr>
        <w:t xml:space="preserve">Рентна плата за спеціальне використання лісових ресурсів в частині деревини, заготовленої в порядку рубок головного користування зараховується у пропорціях: 37% - до державного фонду державного бюджету, 26% - до спеціального фонду державного бюджету та 37% - до загального фонду місцевих бюджетів. </w:t>
      </w:r>
      <w:r w:rsidRPr="00754EA5">
        <w:rPr>
          <w:bCs/>
          <w:iCs/>
          <w:sz w:val="26"/>
          <w:szCs w:val="26"/>
        </w:rPr>
        <w:t>Н</w:t>
      </w:r>
      <w:r w:rsidRPr="00754EA5">
        <w:rPr>
          <w:bCs/>
          <w:sz w:val="26"/>
          <w:szCs w:val="26"/>
        </w:rPr>
        <w:t>а 2026 рік обрахована рентна плата в сумі 2 400,0 тис. гривень, що на 385,5 тис. гривень більше надходжень 2025 року.</w:t>
      </w:r>
    </w:p>
    <w:p w:rsidR="00427B6D" w:rsidRPr="00754EA5" w:rsidRDefault="00427B6D" w:rsidP="00103DCC">
      <w:pPr>
        <w:ind w:firstLine="567"/>
        <w:jc w:val="both"/>
        <w:rPr>
          <w:bCs/>
          <w:sz w:val="26"/>
          <w:szCs w:val="26"/>
        </w:rPr>
      </w:pPr>
      <w:r w:rsidRPr="00754EA5">
        <w:rPr>
          <w:bCs/>
          <w:i/>
          <w:sz w:val="26"/>
          <w:szCs w:val="26"/>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r w:rsidRPr="00754EA5">
        <w:rPr>
          <w:bCs/>
          <w:sz w:val="26"/>
          <w:szCs w:val="26"/>
        </w:rPr>
        <w:t>прогнозується в сумі 2 400,0 тис. гривень, що на 66,9 тис. гривень більше надходжень 2025 року.</w:t>
      </w:r>
    </w:p>
    <w:p w:rsidR="00427B6D" w:rsidRPr="00754EA5" w:rsidRDefault="00427B6D" w:rsidP="00103DCC">
      <w:pPr>
        <w:ind w:firstLine="567"/>
        <w:jc w:val="both"/>
        <w:rPr>
          <w:bCs/>
          <w:sz w:val="26"/>
          <w:szCs w:val="26"/>
        </w:rPr>
      </w:pPr>
      <w:r w:rsidRPr="00754EA5">
        <w:rPr>
          <w:bCs/>
          <w:sz w:val="26"/>
          <w:szCs w:val="26"/>
        </w:rPr>
        <w:t xml:space="preserve"> </w:t>
      </w:r>
      <w:r w:rsidRPr="00754EA5">
        <w:rPr>
          <w:bCs/>
          <w:i/>
          <w:sz w:val="26"/>
          <w:szCs w:val="26"/>
        </w:rPr>
        <w:t xml:space="preserve">Рентна плата за користування надрами для видобування інших корисних копалин загальнодержавного значення </w:t>
      </w:r>
      <w:r w:rsidRPr="00754EA5">
        <w:rPr>
          <w:bCs/>
          <w:sz w:val="26"/>
          <w:szCs w:val="26"/>
        </w:rPr>
        <w:t>обраховані в сумі 20,0 тис. гривень, що на 2,0 тис. гривень більше.</w:t>
      </w:r>
    </w:p>
    <w:p w:rsidR="00427B6D" w:rsidRDefault="00427B6D" w:rsidP="00427B6D">
      <w:pPr>
        <w:ind w:firstLine="708"/>
        <w:jc w:val="center"/>
        <w:rPr>
          <w:b/>
          <w:bCs/>
          <w:szCs w:val="28"/>
        </w:rPr>
      </w:pPr>
    </w:p>
    <w:p w:rsidR="00427B6D" w:rsidRPr="00754EA5" w:rsidRDefault="00427B6D" w:rsidP="00103DCC">
      <w:pPr>
        <w:jc w:val="center"/>
        <w:rPr>
          <w:b/>
          <w:bCs/>
          <w:sz w:val="26"/>
          <w:szCs w:val="26"/>
        </w:rPr>
      </w:pPr>
      <w:r w:rsidRPr="00754EA5">
        <w:rPr>
          <w:b/>
          <w:bCs/>
          <w:sz w:val="26"/>
          <w:szCs w:val="26"/>
        </w:rPr>
        <w:t>«Податок на прибуток підприємств та фінансових установ комунальної власності»</w:t>
      </w:r>
    </w:p>
    <w:p w:rsidR="00427B6D" w:rsidRDefault="00427B6D" w:rsidP="00427B6D">
      <w:pPr>
        <w:tabs>
          <w:tab w:val="left" w:pos="0"/>
        </w:tabs>
        <w:jc w:val="right"/>
        <w:rPr>
          <w:sz w:val="22"/>
          <w:szCs w:val="22"/>
        </w:rPr>
      </w:pPr>
      <w:r>
        <w:rPr>
          <w:sz w:val="22"/>
          <w:szCs w:val="22"/>
        </w:rPr>
        <w:t>тис.</w:t>
      </w:r>
      <w:r>
        <w:rPr>
          <w:sz w:val="22"/>
          <w:szCs w:val="22"/>
          <w:lang w:val="ru-RU"/>
        </w:rPr>
        <w:t xml:space="preserve"> </w:t>
      </w:r>
      <w:r>
        <w:rPr>
          <w:sz w:val="22"/>
          <w:szCs w:val="22"/>
        </w:rPr>
        <w:t>гривень</w:t>
      </w:r>
    </w:p>
    <w:tbl>
      <w:tblPr>
        <w:tblStyle w:val="a6"/>
        <w:tblW w:w="0" w:type="auto"/>
        <w:tblInd w:w="0" w:type="dxa"/>
        <w:tblLook w:val="04A0" w:firstRow="1" w:lastRow="0" w:firstColumn="1" w:lastColumn="0" w:noHBand="0" w:noVBand="1"/>
      </w:tblPr>
      <w:tblGrid>
        <w:gridCol w:w="2972"/>
        <w:gridCol w:w="2410"/>
        <w:gridCol w:w="1984"/>
        <w:gridCol w:w="1979"/>
      </w:tblGrid>
      <w:tr w:rsidR="00427B6D" w:rsidTr="00606BCD">
        <w:tc>
          <w:tcPr>
            <w:tcW w:w="2972"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Показники</w:t>
            </w:r>
          </w:p>
        </w:tc>
        <w:tc>
          <w:tcPr>
            <w:tcW w:w="2410"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 xml:space="preserve">Факт 2024 року </w:t>
            </w:r>
          </w:p>
        </w:tc>
        <w:tc>
          <w:tcPr>
            <w:tcW w:w="1984"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Очікуване за 2025 рік</w:t>
            </w:r>
          </w:p>
        </w:tc>
        <w:tc>
          <w:tcPr>
            <w:tcW w:w="1979"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Прогноз на 2026 рік</w:t>
            </w:r>
          </w:p>
        </w:tc>
      </w:tr>
      <w:tr w:rsidR="00427B6D" w:rsidTr="00606BCD">
        <w:tc>
          <w:tcPr>
            <w:tcW w:w="2972"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both"/>
              <w:rPr>
                <w:sz w:val="22"/>
                <w:szCs w:val="22"/>
                <w:lang w:eastAsia="uk-UA"/>
              </w:rPr>
            </w:pPr>
            <w:r>
              <w:rPr>
                <w:sz w:val="22"/>
                <w:szCs w:val="22"/>
                <w:lang w:eastAsia="uk-UA"/>
              </w:rPr>
              <w:t>Податок на прибуток</w:t>
            </w:r>
          </w:p>
        </w:tc>
        <w:tc>
          <w:tcPr>
            <w:tcW w:w="2410"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658,9</w:t>
            </w:r>
          </w:p>
        </w:tc>
        <w:tc>
          <w:tcPr>
            <w:tcW w:w="1984"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795,8</w:t>
            </w:r>
          </w:p>
        </w:tc>
        <w:tc>
          <w:tcPr>
            <w:tcW w:w="1979" w:type="dxa"/>
            <w:tcBorders>
              <w:top w:val="single" w:sz="4" w:space="0" w:color="auto"/>
              <w:left w:val="single" w:sz="4" w:space="0" w:color="auto"/>
              <w:bottom w:val="single" w:sz="4" w:space="0" w:color="auto"/>
              <w:right w:val="single" w:sz="4" w:space="0" w:color="auto"/>
            </w:tcBorders>
            <w:hideMark/>
          </w:tcPr>
          <w:p w:rsidR="00427B6D" w:rsidRDefault="00427B6D" w:rsidP="00606BCD">
            <w:pPr>
              <w:tabs>
                <w:tab w:val="left" w:pos="0"/>
              </w:tabs>
              <w:jc w:val="center"/>
              <w:rPr>
                <w:sz w:val="22"/>
                <w:szCs w:val="22"/>
                <w:lang w:eastAsia="uk-UA"/>
              </w:rPr>
            </w:pPr>
            <w:r>
              <w:rPr>
                <w:sz w:val="22"/>
                <w:szCs w:val="22"/>
                <w:lang w:eastAsia="uk-UA"/>
              </w:rPr>
              <w:t>1 218,3</w:t>
            </w:r>
          </w:p>
        </w:tc>
      </w:tr>
    </w:tbl>
    <w:p w:rsidR="00427B6D" w:rsidRDefault="00427B6D" w:rsidP="00427B6D">
      <w:pPr>
        <w:ind w:firstLine="708"/>
        <w:jc w:val="both"/>
        <w:rPr>
          <w:b/>
          <w:bCs/>
          <w:szCs w:val="28"/>
        </w:rPr>
      </w:pPr>
    </w:p>
    <w:p w:rsidR="00427B6D" w:rsidRPr="00754EA5" w:rsidRDefault="00427B6D" w:rsidP="00427B6D">
      <w:pPr>
        <w:ind w:firstLine="708"/>
        <w:jc w:val="both"/>
        <w:rPr>
          <w:bCs/>
          <w:sz w:val="26"/>
          <w:szCs w:val="26"/>
        </w:rPr>
      </w:pPr>
      <w:r w:rsidRPr="00754EA5">
        <w:rPr>
          <w:bCs/>
          <w:sz w:val="26"/>
          <w:szCs w:val="26"/>
        </w:rPr>
        <w:t>Прогноз податку на прибуток на 2026 рік визначено в сумі 1 218,3 тис. гривень, що на 422,5 тис.</w:t>
      </w:r>
      <w:r w:rsidRPr="00754EA5">
        <w:rPr>
          <w:bCs/>
          <w:sz w:val="26"/>
          <w:szCs w:val="26"/>
          <w:lang w:val="ru-RU"/>
        </w:rPr>
        <w:t xml:space="preserve"> </w:t>
      </w:r>
      <w:r w:rsidRPr="00754EA5">
        <w:rPr>
          <w:bCs/>
          <w:sz w:val="26"/>
          <w:szCs w:val="26"/>
        </w:rPr>
        <w:t>гривень більше.</w:t>
      </w:r>
    </w:p>
    <w:p w:rsidR="00103DCC" w:rsidRDefault="00103DCC" w:rsidP="00103DCC">
      <w:pPr>
        <w:jc w:val="center"/>
        <w:rPr>
          <w:b/>
          <w:i/>
          <w:sz w:val="26"/>
          <w:szCs w:val="26"/>
          <w:lang w:val="ru-RU"/>
        </w:rPr>
      </w:pPr>
    </w:p>
    <w:p w:rsidR="00427B6D" w:rsidRPr="002C7D75" w:rsidRDefault="00427B6D" w:rsidP="00103DCC">
      <w:pPr>
        <w:jc w:val="center"/>
        <w:rPr>
          <w:b/>
          <w:i/>
          <w:sz w:val="26"/>
          <w:szCs w:val="26"/>
        </w:rPr>
      </w:pPr>
      <w:r w:rsidRPr="002C7D75">
        <w:rPr>
          <w:b/>
          <w:i/>
          <w:sz w:val="26"/>
          <w:szCs w:val="26"/>
        </w:rPr>
        <w:lastRenderedPageBreak/>
        <w:t>Податок на нерухоме майно, відмінне від земельної ділянки</w:t>
      </w:r>
    </w:p>
    <w:p w:rsidR="00427B6D" w:rsidRPr="00103DCC" w:rsidRDefault="00427B6D" w:rsidP="00103DCC">
      <w:pPr>
        <w:ind w:firstLine="567"/>
        <w:jc w:val="both"/>
        <w:rPr>
          <w:sz w:val="26"/>
          <w:szCs w:val="26"/>
        </w:rPr>
      </w:pPr>
      <w:r w:rsidRPr="00103DCC">
        <w:rPr>
          <w:sz w:val="26"/>
          <w:szCs w:val="26"/>
        </w:rPr>
        <w:t>Розрахунок податку на нерухоме майно, відмінне від земельної ділянки на 2026 рік проведено для об'єктів житлової та комерційної нерухомості, фізичних та юридичних осіб. При розрахунку враховано підпункт 69.22 пункту 69 підрозділу 10 розділу ХХ Податкового кодексу України, який визначає порядок сплати такого податку в умовах воєнного стану.</w:t>
      </w:r>
    </w:p>
    <w:p w:rsidR="00427B6D" w:rsidRPr="00103DCC" w:rsidRDefault="00427B6D" w:rsidP="00103DCC">
      <w:pPr>
        <w:ind w:firstLine="567"/>
        <w:jc w:val="both"/>
        <w:rPr>
          <w:sz w:val="26"/>
          <w:szCs w:val="26"/>
        </w:rPr>
      </w:pPr>
      <w:r w:rsidRPr="00103DCC">
        <w:rPr>
          <w:sz w:val="26"/>
          <w:szCs w:val="26"/>
        </w:rPr>
        <w:t>Податок на нерухоме майно, відмінне від земельної ділянки обраховано в сумі 3 920,8 тис. гривень, з них: для фізичних осіб, враховуючи діюче законодавство, обраховано в сумі 2 000,0 тис. гривень, що на 173,0 тис. гривень менше, в зв'язку з тим, що у 2025 році було нараховано та сплачено податок за 2023-2025 роки; податок для юридичних осіб обраховано в сумі 1 920,8 тис. гривень, що на 160,9 тис. гривень більше, з урахуванням підвищення рівня мінімальної заробітної плати.</w:t>
      </w:r>
    </w:p>
    <w:p w:rsidR="00427B6D" w:rsidRPr="00103DCC" w:rsidRDefault="00427B6D" w:rsidP="00427B6D">
      <w:pPr>
        <w:ind w:firstLine="708"/>
        <w:jc w:val="center"/>
        <w:rPr>
          <w:b/>
          <w:i/>
          <w:sz w:val="26"/>
          <w:szCs w:val="26"/>
        </w:rPr>
      </w:pPr>
    </w:p>
    <w:p w:rsidR="00427B6D" w:rsidRPr="00103DCC" w:rsidRDefault="00427B6D" w:rsidP="00427B6D">
      <w:pPr>
        <w:ind w:firstLine="708"/>
        <w:jc w:val="center"/>
        <w:rPr>
          <w:b/>
          <w:i/>
          <w:sz w:val="26"/>
          <w:szCs w:val="26"/>
        </w:rPr>
      </w:pPr>
      <w:r w:rsidRPr="00103DCC">
        <w:rPr>
          <w:b/>
          <w:i/>
          <w:sz w:val="26"/>
          <w:szCs w:val="26"/>
        </w:rPr>
        <w:t>Транспортний податок</w:t>
      </w:r>
    </w:p>
    <w:p w:rsidR="00427B6D" w:rsidRPr="00103DCC" w:rsidRDefault="00427B6D" w:rsidP="00103DCC">
      <w:pPr>
        <w:ind w:firstLine="567"/>
        <w:jc w:val="both"/>
        <w:rPr>
          <w:bCs/>
          <w:iCs/>
          <w:sz w:val="26"/>
          <w:szCs w:val="26"/>
        </w:rPr>
      </w:pPr>
      <w:r w:rsidRPr="00103DCC">
        <w:rPr>
          <w:bCs/>
          <w:iCs/>
          <w:sz w:val="26"/>
          <w:szCs w:val="26"/>
        </w:rPr>
        <w:t>За даними податкової служби на території Тростянецької міської територіальної громади обліковується три суб'єкта господарювання юридичні особи: ПП «Зарічанське» та ПП «Мащанське». Прогнозні надходження на 2026 рік транспортного податку обраховані в сумі 12,5 тис. гривень.</w:t>
      </w:r>
    </w:p>
    <w:p w:rsidR="00427B6D" w:rsidRPr="00103DCC" w:rsidRDefault="00427B6D" w:rsidP="00427B6D">
      <w:pPr>
        <w:ind w:firstLine="708"/>
        <w:jc w:val="both"/>
        <w:rPr>
          <w:bCs/>
          <w:iCs/>
          <w:sz w:val="26"/>
          <w:szCs w:val="26"/>
        </w:rPr>
      </w:pPr>
    </w:p>
    <w:p w:rsidR="00427B6D" w:rsidRPr="00103DCC" w:rsidRDefault="00427B6D" w:rsidP="00427B6D">
      <w:pPr>
        <w:ind w:firstLine="708"/>
        <w:jc w:val="center"/>
        <w:rPr>
          <w:b/>
          <w:i/>
          <w:sz w:val="26"/>
          <w:szCs w:val="26"/>
        </w:rPr>
      </w:pPr>
      <w:r w:rsidRPr="00103DCC">
        <w:rPr>
          <w:b/>
          <w:i/>
          <w:sz w:val="26"/>
          <w:szCs w:val="26"/>
        </w:rPr>
        <w:t>Туристичний збір</w:t>
      </w:r>
    </w:p>
    <w:p w:rsidR="00427B6D" w:rsidRPr="00103DCC" w:rsidRDefault="00427B6D" w:rsidP="00103DCC">
      <w:pPr>
        <w:ind w:firstLine="567"/>
        <w:jc w:val="both"/>
        <w:rPr>
          <w:bCs/>
          <w:iCs/>
          <w:sz w:val="26"/>
          <w:szCs w:val="26"/>
        </w:rPr>
      </w:pPr>
      <w:r w:rsidRPr="00103DCC">
        <w:rPr>
          <w:bCs/>
          <w:iCs/>
          <w:sz w:val="26"/>
          <w:szCs w:val="26"/>
        </w:rPr>
        <w:t>За даними податкової служби платниками туристичного збору станом на 01 жовтня 2025 року є ДП «Елегія» КП ТМР «Тростянецьке ЖЕУ» та КП «Готель «Тростянець». На 2026 рік туристичного збору обраховано в сумі 200,0 тис. гривень, що на 113,5 тис. гривень більше очікуваних надходжень 2025 року.</w:t>
      </w:r>
    </w:p>
    <w:p w:rsidR="00427B6D" w:rsidRPr="00103DCC" w:rsidRDefault="00427B6D" w:rsidP="00427B6D">
      <w:pPr>
        <w:ind w:firstLine="708"/>
        <w:jc w:val="both"/>
        <w:rPr>
          <w:bCs/>
          <w:iCs/>
          <w:sz w:val="26"/>
          <w:szCs w:val="26"/>
        </w:rPr>
      </w:pPr>
    </w:p>
    <w:p w:rsidR="00427B6D" w:rsidRPr="00103DCC" w:rsidRDefault="00427B6D" w:rsidP="00103DCC">
      <w:pPr>
        <w:ind w:firstLine="567"/>
        <w:jc w:val="both"/>
        <w:rPr>
          <w:sz w:val="26"/>
          <w:szCs w:val="26"/>
        </w:rPr>
      </w:pPr>
      <w:r w:rsidRPr="00103DCC">
        <w:rPr>
          <w:sz w:val="26"/>
          <w:szCs w:val="26"/>
          <w:u w:val="single"/>
        </w:rPr>
        <w:t>Неподаткових надходжень</w:t>
      </w:r>
      <w:r w:rsidRPr="00103DCC">
        <w:rPr>
          <w:sz w:val="26"/>
          <w:szCs w:val="26"/>
        </w:rPr>
        <w:t xml:space="preserve"> заплановано в сумі 4 384,4 тис. гривень, з них:</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sz w:val="26"/>
          <w:szCs w:val="26"/>
        </w:rPr>
        <w:t>адміністративних штрафів та інших санкцій очікується в сумі 1 752,0 тис. гривень, або на рівні 2025 року;</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sz w:val="26"/>
          <w:szCs w:val="26"/>
        </w:rPr>
        <w:t>плати за надання адміністративних послуг заплановано 1 940,0 тис. гривень, або на 137,0 тис. гривень більше;</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sz w:val="26"/>
          <w:szCs w:val="26"/>
        </w:rPr>
        <w:t>надходження від орендної плати за користування цілісним майновим комплексом та іншим майном, що перебуває у комунальній власності – 224,0 тис. гривень, що на 88,4 тис. гривень більше;</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sz w:val="26"/>
          <w:szCs w:val="26"/>
        </w:rPr>
        <w:t>державного мита заплановано в сумі 1,4 тис. гривень, або на рівні 2025 року;</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sz w:val="26"/>
          <w:szCs w:val="26"/>
        </w:rPr>
        <w:t>орендної плати за водні об`єкти (їх частини), що надаються в користування на умовах оренди прогнозується в сумі 32,0 тис. гривень, що на 2,6 тис. гривень більше;</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sz w:val="26"/>
          <w:szCs w:val="26"/>
        </w:rPr>
        <w:t>інші надходження заплановані в сумі 400,0 тис. гривень, джерелами формування інших надходжень є повернення коштів за минулі роки, повернення до бюджету за навчання студентами-медиками та відшкодування втрат за лікування потерпілого від злочину;</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sz w:val="26"/>
          <w:szCs w:val="26"/>
        </w:rPr>
        <w:t xml:space="preserve">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w:t>
      </w:r>
      <w:r w:rsidRPr="00103DCC">
        <w:rPr>
          <w:rFonts w:ascii="Times New Roman" w:hAnsi="Times New Roman" w:cs="Times New Roman"/>
          <w:sz w:val="26"/>
          <w:szCs w:val="26"/>
        </w:rPr>
        <w:lastRenderedPageBreak/>
        <w:t>покриву тощо та за неодержання доходів у зв'язку з тимчасовим невикористанням земельних ділянок заплановані в сумі 35,0 тис. гривень.</w:t>
      </w:r>
    </w:p>
    <w:p w:rsidR="00427B6D" w:rsidRPr="00103DCC" w:rsidRDefault="00427B6D" w:rsidP="00427B6D">
      <w:pPr>
        <w:pStyle w:val="a5"/>
        <w:ind w:left="0" w:firstLine="567"/>
        <w:jc w:val="both"/>
        <w:rPr>
          <w:rFonts w:ascii="Times New Roman" w:hAnsi="Times New Roman" w:cs="Times New Roman"/>
          <w:sz w:val="26"/>
          <w:szCs w:val="26"/>
        </w:rPr>
      </w:pPr>
    </w:p>
    <w:p w:rsidR="00427B6D" w:rsidRPr="00103DCC" w:rsidRDefault="00427B6D" w:rsidP="00103DCC">
      <w:pPr>
        <w:pStyle w:val="a5"/>
        <w:ind w:left="0"/>
        <w:jc w:val="center"/>
        <w:rPr>
          <w:rFonts w:ascii="Times New Roman" w:hAnsi="Times New Roman" w:cs="Times New Roman"/>
          <w:b/>
          <w:sz w:val="26"/>
          <w:szCs w:val="26"/>
        </w:rPr>
      </w:pPr>
      <w:r w:rsidRPr="00103DCC">
        <w:rPr>
          <w:rFonts w:ascii="Times New Roman" w:hAnsi="Times New Roman" w:cs="Times New Roman"/>
          <w:b/>
          <w:sz w:val="26"/>
          <w:szCs w:val="26"/>
        </w:rPr>
        <w:t>СПЕЦІАЛЬНИЙ ФОНД</w:t>
      </w:r>
    </w:p>
    <w:p w:rsidR="00427B6D" w:rsidRPr="00103DCC" w:rsidRDefault="00427B6D" w:rsidP="00103DCC">
      <w:pPr>
        <w:pStyle w:val="a5"/>
        <w:ind w:left="0" w:firstLine="567"/>
        <w:jc w:val="both"/>
        <w:rPr>
          <w:rFonts w:ascii="Times New Roman" w:hAnsi="Times New Roman" w:cs="Times New Roman"/>
          <w:sz w:val="26"/>
          <w:szCs w:val="26"/>
        </w:rPr>
      </w:pPr>
      <w:r w:rsidRPr="00103DCC">
        <w:rPr>
          <w:rFonts w:ascii="Times New Roman" w:hAnsi="Times New Roman" w:cs="Times New Roman"/>
          <w:sz w:val="26"/>
          <w:szCs w:val="26"/>
        </w:rPr>
        <w:t>Прогнозна сума надходжень спеціального фонду бюджету Тростянецької МТГ на 2026 рік обрахована в сумі 4 871,2 тис. гривень, в тому числі: бюджет розвитку – 2 000,0 тис. гривень.</w:t>
      </w:r>
    </w:p>
    <w:p w:rsidR="00427B6D" w:rsidRPr="00103DCC" w:rsidRDefault="00427B6D" w:rsidP="00103DCC">
      <w:pPr>
        <w:pStyle w:val="a5"/>
        <w:ind w:left="0" w:firstLine="567"/>
        <w:jc w:val="both"/>
        <w:rPr>
          <w:rFonts w:ascii="Times New Roman" w:hAnsi="Times New Roman" w:cs="Times New Roman"/>
          <w:sz w:val="26"/>
          <w:szCs w:val="26"/>
        </w:rPr>
      </w:pPr>
      <w:r w:rsidRPr="00103DCC">
        <w:rPr>
          <w:rFonts w:ascii="Times New Roman" w:hAnsi="Times New Roman" w:cs="Times New Roman"/>
          <w:sz w:val="26"/>
          <w:szCs w:val="26"/>
        </w:rPr>
        <w:t>Власних надходжень бюджетних установ заплановано в сумі 2 640,0 тис. гривень.</w:t>
      </w:r>
    </w:p>
    <w:p w:rsidR="00427B6D" w:rsidRPr="00103DCC" w:rsidRDefault="00427B6D" w:rsidP="00103DCC">
      <w:pPr>
        <w:pStyle w:val="a5"/>
        <w:ind w:left="0" w:firstLine="567"/>
        <w:jc w:val="both"/>
        <w:rPr>
          <w:rFonts w:ascii="Times New Roman" w:hAnsi="Times New Roman" w:cs="Times New Roman"/>
          <w:bCs/>
          <w:sz w:val="26"/>
          <w:szCs w:val="26"/>
        </w:rPr>
      </w:pPr>
      <w:r w:rsidRPr="00103DCC">
        <w:rPr>
          <w:rFonts w:ascii="Times New Roman" w:hAnsi="Times New Roman" w:cs="Times New Roman"/>
          <w:sz w:val="26"/>
          <w:szCs w:val="26"/>
        </w:rPr>
        <w:t xml:space="preserve">Екологічного податку прогнозовано в сумі 221,2 тис. гривень.  </w:t>
      </w:r>
    </w:p>
    <w:p w:rsidR="00427B6D" w:rsidRPr="00103DCC" w:rsidRDefault="00427B6D" w:rsidP="00103DCC">
      <w:pPr>
        <w:pStyle w:val="a5"/>
        <w:ind w:left="0" w:firstLine="567"/>
        <w:jc w:val="both"/>
        <w:rPr>
          <w:rFonts w:ascii="Times New Roman" w:hAnsi="Times New Roman" w:cs="Times New Roman"/>
          <w:sz w:val="26"/>
          <w:szCs w:val="26"/>
        </w:rPr>
      </w:pPr>
      <w:r w:rsidRPr="00103DCC">
        <w:rPr>
          <w:rFonts w:ascii="Times New Roman" w:hAnsi="Times New Roman" w:cs="Times New Roman"/>
          <w:sz w:val="26"/>
          <w:szCs w:val="26"/>
        </w:rPr>
        <w:t xml:space="preserve">Надходжень від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заплановано в сумі 10,0 тис. гривень. </w:t>
      </w:r>
    </w:p>
    <w:p w:rsidR="00427B6D" w:rsidRPr="00103DCC" w:rsidRDefault="00427B6D" w:rsidP="00103DCC">
      <w:pPr>
        <w:pStyle w:val="a5"/>
        <w:ind w:left="0" w:firstLine="567"/>
        <w:jc w:val="both"/>
        <w:rPr>
          <w:rFonts w:ascii="Times New Roman" w:hAnsi="Times New Roman" w:cs="Times New Roman"/>
          <w:sz w:val="26"/>
          <w:szCs w:val="26"/>
        </w:rPr>
      </w:pPr>
      <w:r w:rsidRPr="00103DCC">
        <w:rPr>
          <w:rFonts w:ascii="Times New Roman" w:hAnsi="Times New Roman" w:cs="Times New Roman"/>
          <w:sz w:val="26"/>
          <w:szCs w:val="26"/>
        </w:rPr>
        <w:t>Надходження бюджету розвитку складають 2 000,0 тис. гривень, з них:</w:t>
      </w:r>
    </w:p>
    <w:p w:rsid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i/>
          <w:sz w:val="26"/>
          <w:szCs w:val="26"/>
        </w:rPr>
        <w:t>надходження від відчуження майна, що перебуває у комунальній власності</w:t>
      </w:r>
      <w:r w:rsidRPr="00103DCC">
        <w:rPr>
          <w:rFonts w:ascii="Times New Roman" w:hAnsi="Times New Roman" w:cs="Times New Roman"/>
          <w:sz w:val="26"/>
          <w:szCs w:val="26"/>
        </w:rPr>
        <w:t xml:space="preserve"> складуть 1 000,0 тис. гривень;</w:t>
      </w:r>
    </w:p>
    <w:p w:rsidR="00427B6D" w:rsidRPr="00103DCC" w:rsidRDefault="00427B6D" w:rsidP="00103DCC">
      <w:pPr>
        <w:pStyle w:val="a5"/>
        <w:numPr>
          <w:ilvl w:val="0"/>
          <w:numId w:val="5"/>
        </w:numPr>
        <w:ind w:left="0" w:firstLine="567"/>
        <w:jc w:val="both"/>
        <w:rPr>
          <w:rFonts w:ascii="Times New Roman" w:hAnsi="Times New Roman" w:cs="Times New Roman"/>
          <w:sz w:val="26"/>
          <w:szCs w:val="26"/>
        </w:rPr>
      </w:pPr>
      <w:r w:rsidRPr="00103DCC">
        <w:rPr>
          <w:rFonts w:ascii="Times New Roman" w:hAnsi="Times New Roman" w:cs="Times New Roman"/>
          <w:i/>
          <w:sz w:val="26"/>
          <w:szCs w:val="26"/>
        </w:rPr>
        <w:t>надходження від продажу земельних ділянок</w:t>
      </w:r>
      <w:r w:rsidRPr="00103DCC">
        <w:rPr>
          <w:rFonts w:ascii="Times New Roman" w:hAnsi="Times New Roman" w:cs="Times New Roman"/>
          <w:sz w:val="26"/>
          <w:szCs w:val="26"/>
        </w:rPr>
        <w:t xml:space="preserve"> в сумі 1000,0 тис. гривень.</w:t>
      </w:r>
    </w:p>
    <w:p w:rsidR="00631E9A" w:rsidRDefault="00631E9A" w:rsidP="00D24EB8">
      <w:pPr>
        <w:jc w:val="center"/>
        <w:rPr>
          <w:b/>
          <w:szCs w:val="28"/>
        </w:rPr>
      </w:pPr>
    </w:p>
    <w:p w:rsidR="00D24EB8" w:rsidRPr="00393006" w:rsidRDefault="00D24EB8" w:rsidP="00D24EB8">
      <w:pPr>
        <w:jc w:val="center"/>
        <w:rPr>
          <w:b/>
          <w:szCs w:val="28"/>
        </w:rPr>
      </w:pPr>
      <w:r w:rsidRPr="00393006">
        <w:rPr>
          <w:b/>
          <w:szCs w:val="28"/>
        </w:rPr>
        <w:t>ІІІ. ВИДАТКИ БЮДЖЕТУ ТРОСТЯНЕЦЬКОЇ МІСЬКОЇ ТЕРИТОРІАЛЬНОЇ ГРОМАДИ</w:t>
      </w:r>
    </w:p>
    <w:p w:rsidR="00D24EB8" w:rsidRPr="00393006" w:rsidRDefault="00D24EB8" w:rsidP="00D24EB8">
      <w:pPr>
        <w:jc w:val="center"/>
        <w:rPr>
          <w:b/>
          <w:szCs w:val="28"/>
        </w:rPr>
      </w:pPr>
    </w:p>
    <w:p w:rsidR="00D24EB8" w:rsidRPr="0011430E" w:rsidRDefault="00D24EB8" w:rsidP="00A74887">
      <w:pPr>
        <w:ind w:firstLine="567"/>
        <w:jc w:val="both"/>
        <w:rPr>
          <w:sz w:val="26"/>
          <w:szCs w:val="26"/>
        </w:rPr>
      </w:pPr>
      <w:r w:rsidRPr="0011430E">
        <w:rPr>
          <w:sz w:val="26"/>
          <w:szCs w:val="26"/>
        </w:rPr>
        <w:t>Обсяг бюджету Тростянецької міської територіальної громади за видатками на 202</w:t>
      </w:r>
      <w:r w:rsidR="00134CBA" w:rsidRPr="0011430E">
        <w:rPr>
          <w:sz w:val="26"/>
          <w:szCs w:val="26"/>
          <w:lang w:val="ru-RU"/>
        </w:rPr>
        <w:t>6</w:t>
      </w:r>
      <w:r w:rsidRPr="0011430E">
        <w:rPr>
          <w:sz w:val="26"/>
          <w:szCs w:val="26"/>
        </w:rPr>
        <w:t xml:space="preserve"> рік становить </w:t>
      </w:r>
      <w:r w:rsidR="00914B8E" w:rsidRPr="0011430E">
        <w:rPr>
          <w:sz w:val="26"/>
          <w:szCs w:val="26"/>
        </w:rPr>
        <w:t>397 518,6</w:t>
      </w:r>
      <w:r w:rsidRPr="0011430E">
        <w:rPr>
          <w:sz w:val="26"/>
          <w:szCs w:val="26"/>
        </w:rPr>
        <w:t xml:space="preserve"> тис. гривень, в тому числі:</w:t>
      </w:r>
    </w:p>
    <w:p w:rsidR="00D24EB8" w:rsidRPr="0011430E" w:rsidRDefault="00D24EB8" w:rsidP="00A74887">
      <w:pPr>
        <w:ind w:firstLine="567"/>
        <w:jc w:val="both"/>
        <w:rPr>
          <w:sz w:val="26"/>
          <w:szCs w:val="26"/>
        </w:rPr>
      </w:pPr>
      <w:r w:rsidRPr="0011430E">
        <w:rPr>
          <w:sz w:val="26"/>
          <w:szCs w:val="26"/>
        </w:rPr>
        <w:tab/>
        <w:t xml:space="preserve">по загальному фонду – </w:t>
      </w:r>
      <w:r w:rsidR="00592B3F" w:rsidRPr="0011430E">
        <w:rPr>
          <w:sz w:val="26"/>
          <w:szCs w:val="26"/>
        </w:rPr>
        <w:t>35</w:t>
      </w:r>
      <w:r w:rsidR="00914B8E" w:rsidRPr="0011430E">
        <w:rPr>
          <w:sz w:val="26"/>
          <w:szCs w:val="26"/>
        </w:rPr>
        <w:t>8 02</w:t>
      </w:r>
      <w:r w:rsidR="00592B3F" w:rsidRPr="0011430E">
        <w:rPr>
          <w:sz w:val="26"/>
          <w:szCs w:val="26"/>
        </w:rPr>
        <w:t>7</w:t>
      </w:r>
      <w:r w:rsidR="00914B8E" w:rsidRPr="0011430E">
        <w:rPr>
          <w:sz w:val="26"/>
          <w:szCs w:val="26"/>
        </w:rPr>
        <w:t>,4</w:t>
      </w:r>
      <w:r w:rsidRPr="0011430E">
        <w:rPr>
          <w:sz w:val="26"/>
          <w:szCs w:val="26"/>
        </w:rPr>
        <w:t xml:space="preserve"> тис. гривень, в тому числі за рахунок власних коштів </w:t>
      </w:r>
      <w:r w:rsidR="00914B8E" w:rsidRPr="0011430E">
        <w:rPr>
          <w:sz w:val="26"/>
          <w:szCs w:val="26"/>
        </w:rPr>
        <w:t>293 781,0</w:t>
      </w:r>
      <w:r w:rsidRPr="0011430E">
        <w:rPr>
          <w:sz w:val="26"/>
          <w:szCs w:val="26"/>
        </w:rPr>
        <w:t xml:space="preserve"> тис. гривень, за рахунок </w:t>
      </w:r>
      <w:r w:rsidRPr="0011430E">
        <w:rPr>
          <w:b/>
          <w:bCs/>
          <w:sz w:val="26"/>
          <w:szCs w:val="26"/>
        </w:rPr>
        <w:t xml:space="preserve">міжбюджетних трансфертів </w:t>
      </w:r>
      <w:r w:rsidR="00592B3F" w:rsidRPr="0011430E">
        <w:rPr>
          <w:b/>
          <w:bCs/>
          <w:sz w:val="26"/>
          <w:szCs w:val="26"/>
        </w:rPr>
        <w:t>6</w:t>
      </w:r>
      <w:r w:rsidR="00914B8E" w:rsidRPr="0011430E">
        <w:rPr>
          <w:b/>
          <w:bCs/>
          <w:sz w:val="26"/>
          <w:szCs w:val="26"/>
        </w:rPr>
        <w:t>4 246,4</w:t>
      </w:r>
      <w:r w:rsidRPr="0011430E">
        <w:rPr>
          <w:b/>
          <w:bCs/>
          <w:sz w:val="26"/>
          <w:szCs w:val="26"/>
        </w:rPr>
        <w:t xml:space="preserve"> тис. гривень</w:t>
      </w:r>
      <w:r w:rsidRPr="0011430E">
        <w:rPr>
          <w:sz w:val="26"/>
          <w:szCs w:val="26"/>
        </w:rPr>
        <w:t>, з них:</w:t>
      </w:r>
    </w:p>
    <w:p w:rsidR="00D24EB8" w:rsidRPr="0011430E" w:rsidRDefault="00D24EB8" w:rsidP="00A74887">
      <w:pPr>
        <w:pStyle w:val="a5"/>
        <w:numPr>
          <w:ilvl w:val="0"/>
          <w:numId w:val="2"/>
        </w:numPr>
        <w:tabs>
          <w:tab w:val="left" w:pos="851"/>
        </w:tabs>
        <w:ind w:left="0" w:firstLine="567"/>
        <w:jc w:val="both"/>
        <w:rPr>
          <w:rFonts w:ascii="Times New Roman" w:hAnsi="Times New Roman" w:cs="Times New Roman"/>
          <w:sz w:val="26"/>
          <w:szCs w:val="26"/>
        </w:rPr>
      </w:pPr>
      <w:bookmarkStart w:id="0" w:name="_Hlk153888470"/>
      <w:r w:rsidRPr="0011430E">
        <w:rPr>
          <w:rFonts w:ascii="Times New Roman" w:hAnsi="Times New Roman" w:cs="Times New Roman"/>
          <w:sz w:val="26"/>
          <w:szCs w:val="26"/>
        </w:rPr>
        <w:t xml:space="preserve">освітня субвенція з державного бюджету місцевим бюджетам – </w:t>
      </w:r>
      <w:r w:rsidR="00592B3F" w:rsidRPr="0011430E">
        <w:rPr>
          <w:rFonts w:ascii="Times New Roman" w:hAnsi="Times New Roman" w:cs="Times New Roman"/>
          <w:sz w:val="26"/>
          <w:szCs w:val="26"/>
        </w:rPr>
        <w:t>62 403,7</w:t>
      </w:r>
      <w:r w:rsidRPr="0011430E">
        <w:rPr>
          <w:rFonts w:ascii="Times New Roman" w:hAnsi="Times New Roman" w:cs="Times New Roman"/>
          <w:sz w:val="26"/>
          <w:szCs w:val="26"/>
        </w:rPr>
        <w:t xml:space="preserve"> тис. гривень;</w:t>
      </w:r>
    </w:p>
    <w:p w:rsidR="00914B8E" w:rsidRPr="0011430E" w:rsidRDefault="00914B8E" w:rsidP="00A74887">
      <w:pPr>
        <w:pStyle w:val="a5"/>
        <w:numPr>
          <w:ilvl w:val="0"/>
          <w:numId w:val="2"/>
        </w:numPr>
        <w:tabs>
          <w:tab w:val="left" w:pos="851"/>
        </w:tabs>
        <w:ind w:left="0" w:firstLine="567"/>
        <w:jc w:val="both"/>
        <w:rPr>
          <w:rFonts w:ascii="Times New Roman" w:hAnsi="Times New Roman" w:cs="Times New Roman"/>
          <w:sz w:val="26"/>
          <w:szCs w:val="26"/>
        </w:rPr>
      </w:pPr>
      <w:r w:rsidRPr="0011430E">
        <w:rPr>
          <w:sz w:val="26"/>
          <w:szCs w:val="26"/>
          <w:shd w:val="clear" w:color="auto" w:fill="FFFFFF"/>
        </w:rPr>
        <w:t>субвенція з місцевого бюджету на здійснення переданих видатків у сфері освіти за рахунок коштів освітньої субвенції – 1342,7 тис. гривень;</w:t>
      </w:r>
    </w:p>
    <w:bookmarkEnd w:id="0"/>
    <w:p w:rsidR="00D24EB8" w:rsidRPr="0011430E" w:rsidRDefault="00D24EB8" w:rsidP="00A74887">
      <w:pPr>
        <w:pStyle w:val="a5"/>
        <w:numPr>
          <w:ilvl w:val="0"/>
          <w:numId w:val="2"/>
        </w:numPr>
        <w:tabs>
          <w:tab w:val="left" w:pos="851"/>
        </w:tabs>
        <w:ind w:left="0" w:firstLine="567"/>
        <w:jc w:val="both"/>
        <w:rPr>
          <w:rFonts w:ascii="Times New Roman" w:hAnsi="Times New Roman" w:cs="Times New Roman"/>
          <w:sz w:val="26"/>
          <w:szCs w:val="26"/>
        </w:rPr>
      </w:pPr>
      <w:r w:rsidRPr="0011430E">
        <w:rPr>
          <w:rFonts w:ascii="Times New Roman" w:hAnsi="Times New Roman" w:cs="Times New Roman"/>
          <w:sz w:val="26"/>
          <w:szCs w:val="26"/>
        </w:rPr>
        <w:t xml:space="preserve">інші субвенції з місцевого бюджету – </w:t>
      </w:r>
      <w:r w:rsidR="00592B3F" w:rsidRPr="0011430E">
        <w:rPr>
          <w:rFonts w:ascii="Times New Roman" w:hAnsi="Times New Roman" w:cs="Times New Roman"/>
          <w:sz w:val="26"/>
          <w:szCs w:val="26"/>
        </w:rPr>
        <w:t>5</w:t>
      </w:r>
      <w:r w:rsidRPr="0011430E">
        <w:rPr>
          <w:rFonts w:ascii="Times New Roman" w:hAnsi="Times New Roman" w:cs="Times New Roman"/>
          <w:sz w:val="26"/>
          <w:szCs w:val="26"/>
        </w:rPr>
        <w:t>00,0 тис. гривень, від Боромлянської сільської територіальної громади (</w:t>
      </w:r>
      <w:r w:rsidRPr="0011430E">
        <w:rPr>
          <w:rFonts w:ascii="Times New Roman" w:hAnsi="Times New Roman" w:cs="Times New Roman"/>
          <w:i/>
          <w:sz w:val="26"/>
          <w:szCs w:val="26"/>
        </w:rPr>
        <w:t>на оплату комунальних послуг КНП Тростянецька міська лікарня</w:t>
      </w:r>
      <w:r w:rsidRPr="0011430E">
        <w:rPr>
          <w:rFonts w:ascii="Times New Roman" w:hAnsi="Times New Roman" w:cs="Times New Roman"/>
          <w:sz w:val="26"/>
          <w:szCs w:val="26"/>
        </w:rPr>
        <w:t>).</w:t>
      </w:r>
    </w:p>
    <w:p w:rsidR="00F56BBA" w:rsidRPr="0011430E" w:rsidRDefault="00F56BBA" w:rsidP="00A74887">
      <w:pPr>
        <w:shd w:val="clear" w:color="auto" w:fill="FFFFFF"/>
        <w:ind w:firstLine="567"/>
        <w:jc w:val="both"/>
        <w:rPr>
          <w:sz w:val="26"/>
          <w:szCs w:val="26"/>
        </w:rPr>
      </w:pPr>
    </w:p>
    <w:p w:rsidR="00D24EB8" w:rsidRPr="0011430E" w:rsidRDefault="00D24EB8" w:rsidP="00A74887">
      <w:pPr>
        <w:shd w:val="clear" w:color="auto" w:fill="FFFFFF"/>
        <w:ind w:firstLine="567"/>
        <w:jc w:val="both"/>
        <w:rPr>
          <w:sz w:val="26"/>
          <w:szCs w:val="26"/>
        </w:rPr>
      </w:pPr>
      <w:r w:rsidRPr="0011430E">
        <w:rPr>
          <w:sz w:val="26"/>
          <w:szCs w:val="26"/>
        </w:rPr>
        <w:t>Видатки по галузях бюджетної сфери заплановані відповідно до статті 9 Закону України «Про правовий режим воєнного стану», указів Президента України від 24 лютого 2022 року №64/2022 «Про введення воєнного стану в Україні», ст.59 Закону України «Про місцеве самоврядування в Україні», статті 75 Бюджетного кодексу України, постанови Кабінету міністрів України від 11 березня 2022 р. №252 «Деякі питання формування та виконання місцевих бюджетів у період воєнного стану», особливостей складання розрахунків до проєктів місцевих бюджетів на наступний бюджетний період, доведених Міністерством фінансів України та з урахуванням основних прогнозних макропоказників економічного і соціального розвитку України на 202</w:t>
      </w:r>
      <w:r w:rsidR="00134CBA" w:rsidRPr="0011430E">
        <w:rPr>
          <w:sz w:val="26"/>
          <w:szCs w:val="26"/>
        </w:rPr>
        <w:t>6</w:t>
      </w:r>
      <w:r w:rsidRPr="0011430E">
        <w:rPr>
          <w:sz w:val="26"/>
          <w:szCs w:val="26"/>
        </w:rPr>
        <w:t xml:space="preserve"> рік.</w:t>
      </w:r>
    </w:p>
    <w:p w:rsidR="00D24EB8" w:rsidRPr="0011430E" w:rsidRDefault="00D24EB8" w:rsidP="00A74887">
      <w:pPr>
        <w:shd w:val="clear" w:color="auto" w:fill="FFFFFF"/>
        <w:ind w:firstLine="567"/>
        <w:jc w:val="both"/>
        <w:rPr>
          <w:sz w:val="26"/>
          <w:szCs w:val="26"/>
        </w:rPr>
      </w:pPr>
      <w:r w:rsidRPr="0011430E">
        <w:rPr>
          <w:sz w:val="26"/>
          <w:szCs w:val="26"/>
        </w:rPr>
        <w:t xml:space="preserve">Обраховані показники дозволять забезпечити виконання статті 77 Бюджетного кодексу України в частині врахування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w:t>
      </w:r>
      <w:r w:rsidRPr="0011430E">
        <w:rPr>
          <w:sz w:val="26"/>
          <w:szCs w:val="26"/>
        </w:rPr>
        <w:lastRenderedPageBreak/>
        <w:t>(крім видатків, що фінансуються за рахунок освітньої субвенції з державного бюджету);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D24EB8" w:rsidRPr="0011430E" w:rsidRDefault="00D24EB8" w:rsidP="00A74887">
      <w:pPr>
        <w:shd w:val="clear" w:color="auto" w:fill="FFFFFF"/>
        <w:ind w:firstLine="567"/>
        <w:jc w:val="both"/>
        <w:rPr>
          <w:sz w:val="26"/>
          <w:szCs w:val="26"/>
        </w:rPr>
      </w:pPr>
      <w:r w:rsidRPr="0011430E">
        <w:rPr>
          <w:sz w:val="26"/>
          <w:szCs w:val="26"/>
        </w:rPr>
        <w:t xml:space="preserve">Сума асигнувань на продукти харчування та медикаменти розрахована, виходячи з діючих натуральних та, в окремих випадках, грошових норм забезпечення одиниці контингенту, що обслуговується у закладах шкільної та дошкільної освіти, із застосуванням прогнозного індексу споживчих цін до попереднього року та з врахуванням обсягів ресурсів, які можливо спрямувати на вказані захищені видатки. </w:t>
      </w:r>
    </w:p>
    <w:p w:rsidR="00D24EB8" w:rsidRPr="0011430E" w:rsidRDefault="00D24EB8" w:rsidP="00D24EB8">
      <w:pPr>
        <w:ind w:firstLine="567"/>
        <w:jc w:val="both"/>
        <w:rPr>
          <w:sz w:val="26"/>
          <w:szCs w:val="26"/>
        </w:rPr>
      </w:pPr>
      <w:r w:rsidRPr="0011430E">
        <w:rPr>
          <w:kern w:val="2"/>
          <w:sz w:val="26"/>
          <w:szCs w:val="26"/>
        </w:rPr>
        <w:t xml:space="preserve">Видатки на інші статті </w:t>
      </w:r>
      <w:r w:rsidRPr="0011430E">
        <w:rPr>
          <w:sz w:val="26"/>
          <w:szCs w:val="26"/>
        </w:rPr>
        <w:t>враховують мінімальну потребу головних розпорядників бюджетних коштів.</w:t>
      </w:r>
    </w:p>
    <w:p w:rsidR="00D24EB8" w:rsidRDefault="00D24EB8" w:rsidP="00D24EB8">
      <w:pPr>
        <w:ind w:firstLine="567"/>
        <w:jc w:val="both"/>
        <w:rPr>
          <w:bCs/>
          <w:sz w:val="26"/>
          <w:szCs w:val="26"/>
        </w:rPr>
      </w:pPr>
      <w:r w:rsidRPr="0011430E">
        <w:rPr>
          <w:bCs/>
          <w:sz w:val="26"/>
          <w:szCs w:val="26"/>
        </w:rPr>
        <w:t>Структура видатків бюджету Тростянецької міської територіальної громади на 202</w:t>
      </w:r>
      <w:r w:rsidR="00134CBA" w:rsidRPr="0011430E">
        <w:rPr>
          <w:bCs/>
          <w:sz w:val="26"/>
          <w:szCs w:val="26"/>
          <w:lang w:val="ru-RU"/>
        </w:rPr>
        <w:t>6</w:t>
      </w:r>
      <w:r w:rsidRPr="0011430E">
        <w:rPr>
          <w:bCs/>
          <w:sz w:val="26"/>
          <w:szCs w:val="26"/>
        </w:rPr>
        <w:t xml:space="preserve"> рік характеризується за функціональною ознакою видатків та кредитування місцевих бюджетів:</w:t>
      </w:r>
    </w:p>
    <w:p w:rsidR="00FE2074" w:rsidRDefault="00FE2074" w:rsidP="00FD240F">
      <w:pPr>
        <w:jc w:val="both"/>
        <w:rPr>
          <w:bCs/>
          <w:sz w:val="26"/>
          <w:szCs w:val="26"/>
        </w:rPr>
      </w:pPr>
    </w:p>
    <w:p w:rsidR="00FE2074" w:rsidRDefault="00FE2074" w:rsidP="00D24EB8">
      <w:pPr>
        <w:ind w:firstLine="567"/>
        <w:jc w:val="both"/>
        <w:rPr>
          <w:bCs/>
          <w:sz w:val="26"/>
          <w:szCs w:val="26"/>
        </w:rPr>
      </w:pPr>
    </w:p>
    <w:p w:rsidR="00103DCC" w:rsidRPr="0011430E" w:rsidRDefault="00103DCC" w:rsidP="00D24EB8">
      <w:pPr>
        <w:ind w:firstLine="567"/>
        <w:jc w:val="both"/>
        <w:rPr>
          <w:bCs/>
          <w:sz w:val="26"/>
          <w:szCs w:val="26"/>
        </w:rPr>
      </w:pPr>
    </w:p>
    <w:p w:rsidR="002F4BCB" w:rsidRPr="00393006" w:rsidRDefault="003A4FA1" w:rsidP="003A4FA1">
      <w:pPr>
        <w:jc w:val="both"/>
        <w:rPr>
          <w:bCs/>
          <w:szCs w:val="28"/>
        </w:rPr>
      </w:pPr>
      <w:r w:rsidRPr="003A4FA1">
        <w:rPr>
          <w:bCs/>
          <w:noProof/>
          <w:szCs w:val="28"/>
          <w:lang w:val="ru-RU"/>
        </w:rPr>
        <w:drawing>
          <wp:inline distT="0" distB="0" distL="0" distR="0" wp14:anchorId="299A349D" wp14:editId="31139F00">
            <wp:extent cx="6286500" cy="4962525"/>
            <wp:effectExtent l="0" t="0" r="0" b="9525"/>
            <wp:docPr id="6" name="Діаграма 6">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24EB8" w:rsidRPr="00961E9A" w:rsidRDefault="00D24EB8" w:rsidP="00D24EB8">
      <w:pPr>
        <w:jc w:val="both"/>
        <w:rPr>
          <w:bCs/>
          <w:sz w:val="16"/>
          <w:szCs w:val="28"/>
          <w:highlight w:val="yellow"/>
        </w:rPr>
      </w:pPr>
    </w:p>
    <w:p w:rsidR="00D24EB8" w:rsidRPr="00961E9A" w:rsidRDefault="002805AF" w:rsidP="00D24EB8">
      <w:pPr>
        <w:jc w:val="both"/>
        <w:rPr>
          <w:bCs/>
          <w:sz w:val="26"/>
          <w:szCs w:val="26"/>
          <w:highlight w:val="yellow"/>
        </w:rPr>
      </w:pPr>
      <w:r w:rsidRPr="002805AF">
        <w:rPr>
          <w:bCs/>
          <w:noProof/>
          <w:sz w:val="26"/>
          <w:szCs w:val="26"/>
          <w:highlight w:val="yellow"/>
          <w:lang w:val="ru-RU"/>
        </w:rPr>
        <w:lastRenderedPageBreak/>
        <w:drawing>
          <wp:inline distT="0" distB="0" distL="0" distR="0" wp14:anchorId="3D254288" wp14:editId="63F8B100">
            <wp:extent cx="6264275" cy="6134100"/>
            <wp:effectExtent l="0" t="0" r="3175" b="0"/>
            <wp:docPr id="1" name="Диаграмма 1">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03DCC" w:rsidRDefault="00103DCC" w:rsidP="00D24EB8">
      <w:pPr>
        <w:ind w:firstLine="567"/>
        <w:jc w:val="both"/>
        <w:rPr>
          <w:bCs/>
          <w:sz w:val="26"/>
          <w:szCs w:val="26"/>
        </w:rPr>
      </w:pPr>
    </w:p>
    <w:p w:rsidR="00FE2074" w:rsidRDefault="00FE2074" w:rsidP="00D24EB8">
      <w:pPr>
        <w:ind w:firstLine="567"/>
        <w:jc w:val="both"/>
        <w:rPr>
          <w:bCs/>
          <w:sz w:val="26"/>
          <w:szCs w:val="26"/>
        </w:rPr>
      </w:pPr>
    </w:p>
    <w:p w:rsidR="00D24EB8" w:rsidRPr="0011430E" w:rsidRDefault="00D24EB8" w:rsidP="00D24EB8">
      <w:pPr>
        <w:ind w:firstLine="567"/>
        <w:jc w:val="both"/>
        <w:rPr>
          <w:bCs/>
          <w:sz w:val="26"/>
          <w:szCs w:val="26"/>
        </w:rPr>
      </w:pPr>
      <w:r w:rsidRPr="0011430E">
        <w:rPr>
          <w:bCs/>
          <w:sz w:val="26"/>
          <w:szCs w:val="26"/>
        </w:rPr>
        <w:t xml:space="preserve">Обсяг видатків загального фонду складає </w:t>
      </w:r>
      <w:r w:rsidR="0049758C" w:rsidRPr="0011430E">
        <w:rPr>
          <w:bCs/>
          <w:sz w:val="26"/>
          <w:szCs w:val="26"/>
        </w:rPr>
        <w:t>358 027,4</w:t>
      </w:r>
      <w:r w:rsidRPr="0011430E">
        <w:rPr>
          <w:bCs/>
          <w:sz w:val="26"/>
          <w:szCs w:val="26"/>
        </w:rPr>
        <w:t xml:space="preserve"> тис.</w:t>
      </w:r>
      <w:r w:rsidR="00424221" w:rsidRPr="0011430E">
        <w:rPr>
          <w:bCs/>
          <w:sz w:val="26"/>
          <w:szCs w:val="26"/>
        </w:rPr>
        <w:t xml:space="preserve"> </w:t>
      </w:r>
      <w:r w:rsidRPr="0011430E">
        <w:rPr>
          <w:bCs/>
          <w:sz w:val="26"/>
          <w:szCs w:val="26"/>
        </w:rPr>
        <w:t>гривень, спрямовано на:</w:t>
      </w:r>
    </w:p>
    <w:p w:rsidR="00D24EB8" w:rsidRPr="0011430E" w:rsidRDefault="00D24EB8" w:rsidP="00D24EB8">
      <w:pPr>
        <w:ind w:firstLine="567"/>
        <w:jc w:val="both"/>
        <w:rPr>
          <w:bCs/>
          <w:sz w:val="26"/>
          <w:szCs w:val="26"/>
        </w:rPr>
      </w:pPr>
      <w:r w:rsidRPr="0011430E">
        <w:rPr>
          <w:bCs/>
          <w:sz w:val="26"/>
          <w:szCs w:val="26"/>
        </w:rPr>
        <w:t xml:space="preserve">державне управління – </w:t>
      </w:r>
      <w:r w:rsidR="00615BBD" w:rsidRPr="0011430E">
        <w:rPr>
          <w:bCs/>
          <w:sz w:val="26"/>
          <w:szCs w:val="26"/>
        </w:rPr>
        <w:t>54 794,4</w:t>
      </w:r>
      <w:r w:rsidRPr="0011430E">
        <w:rPr>
          <w:bCs/>
          <w:sz w:val="26"/>
          <w:szCs w:val="26"/>
        </w:rPr>
        <w:t xml:space="preserve"> тис. гривень;</w:t>
      </w:r>
    </w:p>
    <w:p w:rsidR="00D24EB8" w:rsidRPr="0011430E" w:rsidRDefault="00D24EB8" w:rsidP="00D24EB8">
      <w:pPr>
        <w:ind w:firstLine="567"/>
        <w:jc w:val="both"/>
        <w:rPr>
          <w:bCs/>
          <w:sz w:val="26"/>
          <w:szCs w:val="26"/>
        </w:rPr>
      </w:pPr>
      <w:r w:rsidRPr="0011430E">
        <w:rPr>
          <w:bCs/>
          <w:sz w:val="26"/>
          <w:szCs w:val="26"/>
        </w:rPr>
        <w:t xml:space="preserve">освіту – </w:t>
      </w:r>
      <w:r w:rsidR="0049758C" w:rsidRPr="0011430E">
        <w:rPr>
          <w:bCs/>
          <w:sz w:val="26"/>
          <w:szCs w:val="26"/>
        </w:rPr>
        <w:t>152 801,1</w:t>
      </w:r>
      <w:r w:rsidRPr="0011430E">
        <w:rPr>
          <w:bCs/>
          <w:sz w:val="26"/>
          <w:szCs w:val="26"/>
        </w:rPr>
        <w:t xml:space="preserve"> тис. гривень; </w:t>
      </w:r>
    </w:p>
    <w:p w:rsidR="00D24EB8" w:rsidRPr="0011430E" w:rsidRDefault="00D24EB8" w:rsidP="00D24EB8">
      <w:pPr>
        <w:ind w:firstLine="567"/>
        <w:jc w:val="both"/>
        <w:rPr>
          <w:bCs/>
          <w:sz w:val="26"/>
          <w:szCs w:val="26"/>
        </w:rPr>
      </w:pPr>
      <w:r w:rsidRPr="0011430E">
        <w:rPr>
          <w:bCs/>
          <w:sz w:val="26"/>
          <w:szCs w:val="26"/>
        </w:rPr>
        <w:t>охорону здоров’я – 1</w:t>
      </w:r>
      <w:r w:rsidR="00615BBD" w:rsidRPr="0011430E">
        <w:rPr>
          <w:bCs/>
          <w:sz w:val="26"/>
          <w:szCs w:val="26"/>
        </w:rPr>
        <w:t>4 089,0</w:t>
      </w:r>
      <w:r w:rsidRPr="0011430E">
        <w:rPr>
          <w:bCs/>
          <w:sz w:val="26"/>
          <w:szCs w:val="26"/>
        </w:rPr>
        <w:t xml:space="preserve"> тис. гривень; </w:t>
      </w:r>
    </w:p>
    <w:p w:rsidR="00D24EB8" w:rsidRPr="0011430E" w:rsidRDefault="00D24EB8" w:rsidP="00D24EB8">
      <w:pPr>
        <w:ind w:firstLine="567"/>
        <w:jc w:val="both"/>
        <w:rPr>
          <w:bCs/>
          <w:sz w:val="26"/>
          <w:szCs w:val="26"/>
        </w:rPr>
      </w:pPr>
      <w:r w:rsidRPr="0011430E">
        <w:rPr>
          <w:bCs/>
          <w:sz w:val="26"/>
          <w:szCs w:val="26"/>
        </w:rPr>
        <w:t>соціальний захист та соціальне забезпечення – 1</w:t>
      </w:r>
      <w:r w:rsidR="00615BBD" w:rsidRPr="0011430E">
        <w:rPr>
          <w:bCs/>
          <w:sz w:val="26"/>
          <w:szCs w:val="26"/>
        </w:rPr>
        <w:t>5 696,1</w:t>
      </w:r>
      <w:r w:rsidRPr="0011430E">
        <w:rPr>
          <w:bCs/>
          <w:sz w:val="26"/>
          <w:szCs w:val="26"/>
        </w:rPr>
        <w:t xml:space="preserve"> тис. гривень; </w:t>
      </w:r>
    </w:p>
    <w:p w:rsidR="00D24EB8" w:rsidRPr="0011430E" w:rsidRDefault="00D24EB8" w:rsidP="00D24EB8">
      <w:pPr>
        <w:ind w:firstLine="567"/>
        <w:jc w:val="both"/>
        <w:rPr>
          <w:bCs/>
          <w:sz w:val="26"/>
          <w:szCs w:val="26"/>
        </w:rPr>
      </w:pPr>
      <w:r w:rsidRPr="0011430E">
        <w:rPr>
          <w:bCs/>
          <w:sz w:val="26"/>
          <w:szCs w:val="26"/>
        </w:rPr>
        <w:t>культуру – 2</w:t>
      </w:r>
      <w:r w:rsidR="00615BBD" w:rsidRPr="0011430E">
        <w:rPr>
          <w:bCs/>
          <w:sz w:val="26"/>
          <w:szCs w:val="26"/>
        </w:rPr>
        <w:t>7 100,8</w:t>
      </w:r>
      <w:r w:rsidRPr="0011430E">
        <w:rPr>
          <w:bCs/>
          <w:sz w:val="26"/>
          <w:szCs w:val="26"/>
        </w:rPr>
        <w:t xml:space="preserve"> тис. гривень; </w:t>
      </w:r>
    </w:p>
    <w:p w:rsidR="00D24EB8" w:rsidRPr="0011430E" w:rsidRDefault="00D24EB8" w:rsidP="00D24EB8">
      <w:pPr>
        <w:ind w:firstLine="567"/>
        <w:jc w:val="both"/>
        <w:rPr>
          <w:bCs/>
          <w:sz w:val="26"/>
          <w:szCs w:val="26"/>
        </w:rPr>
      </w:pPr>
      <w:r w:rsidRPr="0011430E">
        <w:rPr>
          <w:bCs/>
          <w:sz w:val="26"/>
          <w:szCs w:val="26"/>
        </w:rPr>
        <w:t xml:space="preserve">фізичну культуру і спорт – </w:t>
      </w:r>
      <w:r w:rsidR="00615BBD" w:rsidRPr="0011430E">
        <w:rPr>
          <w:bCs/>
          <w:sz w:val="26"/>
          <w:szCs w:val="26"/>
        </w:rPr>
        <w:t>31 844,2</w:t>
      </w:r>
      <w:r w:rsidRPr="0011430E">
        <w:rPr>
          <w:bCs/>
          <w:sz w:val="26"/>
          <w:szCs w:val="26"/>
        </w:rPr>
        <w:t xml:space="preserve"> тис. гривень;</w:t>
      </w:r>
    </w:p>
    <w:p w:rsidR="00D24EB8" w:rsidRPr="0011430E" w:rsidRDefault="00D24EB8" w:rsidP="00D24EB8">
      <w:pPr>
        <w:ind w:firstLine="567"/>
        <w:jc w:val="both"/>
        <w:rPr>
          <w:bCs/>
          <w:sz w:val="26"/>
          <w:szCs w:val="26"/>
        </w:rPr>
      </w:pPr>
      <w:r w:rsidRPr="0011430E">
        <w:rPr>
          <w:bCs/>
          <w:sz w:val="26"/>
          <w:szCs w:val="26"/>
        </w:rPr>
        <w:t xml:space="preserve">дорожнє господарство – </w:t>
      </w:r>
      <w:r w:rsidR="00615BBD" w:rsidRPr="0011430E">
        <w:rPr>
          <w:bCs/>
          <w:sz w:val="26"/>
          <w:szCs w:val="26"/>
        </w:rPr>
        <w:t>10 185,7тис. гривень</w:t>
      </w:r>
      <w:r w:rsidRPr="0011430E">
        <w:rPr>
          <w:bCs/>
          <w:sz w:val="26"/>
          <w:szCs w:val="26"/>
        </w:rPr>
        <w:t>;</w:t>
      </w:r>
    </w:p>
    <w:p w:rsidR="00D24EB8" w:rsidRPr="0011430E" w:rsidRDefault="00D24EB8" w:rsidP="00D24EB8">
      <w:pPr>
        <w:ind w:firstLine="567"/>
        <w:jc w:val="both"/>
        <w:rPr>
          <w:bCs/>
          <w:sz w:val="26"/>
          <w:szCs w:val="26"/>
        </w:rPr>
      </w:pPr>
      <w:r w:rsidRPr="0011430E">
        <w:rPr>
          <w:bCs/>
          <w:sz w:val="26"/>
          <w:szCs w:val="26"/>
        </w:rPr>
        <w:t xml:space="preserve">житлово-комунальне господарство – </w:t>
      </w:r>
      <w:r w:rsidR="00615BBD" w:rsidRPr="0011430E">
        <w:rPr>
          <w:bCs/>
          <w:sz w:val="26"/>
          <w:szCs w:val="26"/>
        </w:rPr>
        <w:t>42 643,2</w:t>
      </w:r>
      <w:r w:rsidRPr="0011430E">
        <w:rPr>
          <w:bCs/>
          <w:sz w:val="26"/>
          <w:szCs w:val="26"/>
        </w:rPr>
        <w:t xml:space="preserve"> тис. гривень;</w:t>
      </w:r>
    </w:p>
    <w:p w:rsidR="00D24EB8" w:rsidRPr="0011430E" w:rsidRDefault="00D24EB8" w:rsidP="00D24EB8">
      <w:pPr>
        <w:ind w:firstLine="567"/>
        <w:jc w:val="both"/>
        <w:rPr>
          <w:bCs/>
          <w:sz w:val="26"/>
          <w:szCs w:val="26"/>
        </w:rPr>
      </w:pPr>
      <w:r w:rsidRPr="0011430E">
        <w:rPr>
          <w:bCs/>
          <w:sz w:val="26"/>
          <w:szCs w:val="26"/>
        </w:rPr>
        <w:t>заходи та роботи з територіальної оборони – 3</w:t>
      </w:r>
      <w:r w:rsidR="00615BBD" w:rsidRPr="0011430E">
        <w:rPr>
          <w:bCs/>
          <w:sz w:val="26"/>
          <w:szCs w:val="26"/>
        </w:rPr>
        <w:t> 000,0</w:t>
      </w:r>
      <w:r w:rsidRPr="0011430E">
        <w:rPr>
          <w:bCs/>
          <w:sz w:val="26"/>
          <w:szCs w:val="26"/>
        </w:rPr>
        <w:t xml:space="preserve"> тис. гривень;</w:t>
      </w:r>
    </w:p>
    <w:p w:rsidR="00D24EB8" w:rsidRPr="0011430E" w:rsidRDefault="00D24EB8" w:rsidP="00D24EB8">
      <w:pPr>
        <w:ind w:firstLine="567"/>
        <w:jc w:val="both"/>
        <w:rPr>
          <w:bCs/>
          <w:sz w:val="26"/>
          <w:szCs w:val="26"/>
        </w:rPr>
      </w:pPr>
      <w:r w:rsidRPr="0011430E">
        <w:rPr>
          <w:bCs/>
          <w:sz w:val="26"/>
          <w:szCs w:val="26"/>
        </w:rPr>
        <w:t xml:space="preserve">інші видатки – </w:t>
      </w:r>
      <w:r w:rsidR="00615BBD" w:rsidRPr="0011430E">
        <w:rPr>
          <w:bCs/>
          <w:sz w:val="26"/>
          <w:szCs w:val="26"/>
        </w:rPr>
        <w:t>5 472,9</w:t>
      </w:r>
      <w:r w:rsidRPr="0011430E">
        <w:rPr>
          <w:bCs/>
          <w:sz w:val="26"/>
          <w:szCs w:val="26"/>
        </w:rPr>
        <w:t xml:space="preserve"> тис. гривень;</w:t>
      </w:r>
    </w:p>
    <w:p w:rsidR="00D24EB8" w:rsidRPr="0011430E" w:rsidRDefault="00D24EB8" w:rsidP="00D24EB8">
      <w:pPr>
        <w:ind w:firstLine="567"/>
        <w:jc w:val="both"/>
        <w:rPr>
          <w:bCs/>
          <w:sz w:val="26"/>
          <w:szCs w:val="26"/>
        </w:rPr>
      </w:pPr>
      <w:r w:rsidRPr="0011430E">
        <w:rPr>
          <w:bCs/>
          <w:sz w:val="26"/>
          <w:szCs w:val="26"/>
        </w:rPr>
        <w:t xml:space="preserve">резервний фонд – </w:t>
      </w:r>
      <w:r w:rsidR="00615BBD" w:rsidRPr="0011430E">
        <w:rPr>
          <w:bCs/>
          <w:sz w:val="26"/>
          <w:szCs w:val="26"/>
        </w:rPr>
        <w:t>400,0</w:t>
      </w:r>
      <w:r w:rsidR="00424221" w:rsidRPr="0011430E">
        <w:rPr>
          <w:bCs/>
          <w:sz w:val="26"/>
          <w:szCs w:val="26"/>
        </w:rPr>
        <w:t xml:space="preserve"> </w:t>
      </w:r>
      <w:r w:rsidRPr="0011430E">
        <w:rPr>
          <w:bCs/>
          <w:sz w:val="26"/>
          <w:szCs w:val="26"/>
        </w:rPr>
        <w:t>тис. гривень.</w:t>
      </w:r>
    </w:p>
    <w:p w:rsidR="00D24EB8" w:rsidRPr="0011430E" w:rsidRDefault="00D24EB8" w:rsidP="00D24EB8">
      <w:pPr>
        <w:ind w:firstLine="567"/>
        <w:jc w:val="both"/>
        <w:rPr>
          <w:bCs/>
          <w:sz w:val="26"/>
          <w:szCs w:val="26"/>
        </w:rPr>
      </w:pPr>
    </w:p>
    <w:p w:rsidR="00D24EB8" w:rsidRPr="0011430E" w:rsidRDefault="00D24EB8" w:rsidP="00D24EB8">
      <w:pPr>
        <w:ind w:firstLine="567"/>
        <w:jc w:val="both"/>
        <w:rPr>
          <w:sz w:val="26"/>
          <w:szCs w:val="26"/>
        </w:rPr>
      </w:pPr>
      <w:r w:rsidRPr="0011430E">
        <w:rPr>
          <w:sz w:val="26"/>
          <w:szCs w:val="26"/>
        </w:rPr>
        <w:lastRenderedPageBreak/>
        <w:t xml:space="preserve">В бюджеті Тростянецької міської територіальної громади </w:t>
      </w:r>
      <w:r w:rsidR="004F4D7E" w:rsidRPr="0011430E">
        <w:rPr>
          <w:sz w:val="26"/>
          <w:szCs w:val="26"/>
        </w:rPr>
        <w:t>на</w:t>
      </w:r>
      <w:r w:rsidRPr="0011430E">
        <w:rPr>
          <w:sz w:val="26"/>
          <w:szCs w:val="26"/>
        </w:rPr>
        <w:t xml:space="preserve"> 202</w:t>
      </w:r>
      <w:r w:rsidR="004D3EEA" w:rsidRPr="0011430E">
        <w:rPr>
          <w:sz w:val="26"/>
          <w:szCs w:val="26"/>
        </w:rPr>
        <w:t>6</w:t>
      </w:r>
      <w:r w:rsidRPr="0011430E">
        <w:rPr>
          <w:sz w:val="26"/>
          <w:szCs w:val="26"/>
        </w:rPr>
        <w:t xml:space="preserve"> р</w:t>
      </w:r>
      <w:r w:rsidR="004F4D7E" w:rsidRPr="0011430E">
        <w:rPr>
          <w:sz w:val="26"/>
          <w:szCs w:val="26"/>
        </w:rPr>
        <w:t>ік</w:t>
      </w:r>
      <w:r w:rsidRPr="0011430E">
        <w:rPr>
          <w:sz w:val="26"/>
          <w:szCs w:val="26"/>
        </w:rPr>
        <w:t xml:space="preserve"> визначено </w:t>
      </w:r>
      <w:r w:rsidR="004D3EEA" w:rsidRPr="0011430E">
        <w:rPr>
          <w:sz w:val="26"/>
          <w:szCs w:val="26"/>
        </w:rPr>
        <w:t>6</w:t>
      </w:r>
      <w:r w:rsidRPr="0011430E">
        <w:rPr>
          <w:sz w:val="26"/>
          <w:szCs w:val="26"/>
        </w:rPr>
        <w:t xml:space="preserve"> головних розпорядників кошті</w:t>
      </w:r>
    </w:p>
    <w:p w:rsidR="00D24EB8" w:rsidRPr="0011430E" w:rsidRDefault="00D24EB8" w:rsidP="00D24EB8">
      <w:pPr>
        <w:pStyle w:val="a7"/>
        <w:numPr>
          <w:ilvl w:val="0"/>
          <w:numId w:val="2"/>
        </w:numPr>
        <w:ind w:left="0" w:firstLine="567"/>
        <w:jc w:val="both"/>
        <w:rPr>
          <w:sz w:val="26"/>
          <w:szCs w:val="26"/>
        </w:rPr>
      </w:pPr>
      <w:r w:rsidRPr="0011430E">
        <w:rPr>
          <w:sz w:val="26"/>
          <w:szCs w:val="26"/>
        </w:rPr>
        <w:t>міська рада;</w:t>
      </w:r>
    </w:p>
    <w:p w:rsidR="00D24EB8" w:rsidRPr="0011430E" w:rsidRDefault="00D24EB8" w:rsidP="00D24EB8">
      <w:pPr>
        <w:pStyle w:val="a7"/>
        <w:numPr>
          <w:ilvl w:val="0"/>
          <w:numId w:val="2"/>
        </w:numPr>
        <w:ind w:left="0" w:firstLine="567"/>
        <w:jc w:val="both"/>
        <w:rPr>
          <w:sz w:val="26"/>
          <w:szCs w:val="26"/>
        </w:rPr>
      </w:pPr>
      <w:r w:rsidRPr="0011430E">
        <w:rPr>
          <w:sz w:val="26"/>
          <w:szCs w:val="26"/>
        </w:rPr>
        <w:t>відділ освіти;</w:t>
      </w:r>
    </w:p>
    <w:p w:rsidR="00D24EB8" w:rsidRPr="0011430E" w:rsidRDefault="00D24EB8" w:rsidP="00D24EB8">
      <w:pPr>
        <w:pStyle w:val="a7"/>
        <w:numPr>
          <w:ilvl w:val="0"/>
          <w:numId w:val="2"/>
        </w:numPr>
        <w:ind w:left="0" w:firstLine="567"/>
        <w:jc w:val="both"/>
        <w:rPr>
          <w:sz w:val="26"/>
          <w:szCs w:val="26"/>
        </w:rPr>
      </w:pPr>
      <w:r w:rsidRPr="0011430E">
        <w:rPr>
          <w:sz w:val="26"/>
          <w:szCs w:val="26"/>
        </w:rPr>
        <w:t>відділ соціального захисту населення;</w:t>
      </w:r>
    </w:p>
    <w:p w:rsidR="00D24EB8" w:rsidRPr="00BC3BA6" w:rsidRDefault="00D24EB8" w:rsidP="00D24EB8">
      <w:pPr>
        <w:pStyle w:val="a7"/>
        <w:numPr>
          <w:ilvl w:val="0"/>
          <w:numId w:val="2"/>
        </w:numPr>
        <w:ind w:left="0" w:firstLine="567"/>
        <w:jc w:val="both"/>
        <w:rPr>
          <w:sz w:val="26"/>
          <w:szCs w:val="26"/>
        </w:rPr>
      </w:pPr>
      <w:r w:rsidRPr="00BC3BA6">
        <w:rPr>
          <w:sz w:val="26"/>
          <w:szCs w:val="26"/>
        </w:rPr>
        <w:t>відділ культури</w:t>
      </w:r>
      <w:r w:rsidR="00BC3BA6" w:rsidRPr="00BC3BA6">
        <w:rPr>
          <w:sz w:val="26"/>
          <w:szCs w:val="26"/>
          <w:lang w:val="ru-RU"/>
        </w:rPr>
        <w:t xml:space="preserve">, </w:t>
      </w:r>
      <w:r w:rsidRPr="00BC3BA6">
        <w:rPr>
          <w:sz w:val="26"/>
          <w:szCs w:val="26"/>
        </w:rPr>
        <w:t>туриз</w:t>
      </w:r>
      <w:r w:rsidR="00BC3BA6" w:rsidRPr="00BC3BA6">
        <w:rPr>
          <w:sz w:val="26"/>
          <w:szCs w:val="26"/>
        </w:rPr>
        <w:t>му молоді, спорту та охорони культурної спадщини;</w:t>
      </w:r>
    </w:p>
    <w:p w:rsidR="004D3EEA" w:rsidRPr="0011430E" w:rsidRDefault="004D3EEA" w:rsidP="00D24EB8">
      <w:pPr>
        <w:pStyle w:val="a7"/>
        <w:numPr>
          <w:ilvl w:val="0"/>
          <w:numId w:val="2"/>
        </w:numPr>
        <w:ind w:left="0" w:firstLine="567"/>
        <w:jc w:val="both"/>
        <w:rPr>
          <w:sz w:val="26"/>
          <w:szCs w:val="26"/>
        </w:rPr>
      </w:pPr>
      <w:r w:rsidRPr="0011430E">
        <w:rPr>
          <w:sz w:val="26"/>
          <w:szCs w:val="26"/>
        </w:rPr>
        <w:t>управління будівництва, містобудування та архітектури;</w:t>
      </w:r>
    </w:p>
    <w:p w:rsidR="00D24EB8" w:rsidRPr="0011430E" w:rsidRDefault="00D24EB8" w:rsidP="00D24EB8">
      <w:pPr>
        <w:pStyle w:val="a7"/>
        <w:numPr>
          <w:ilvl w:val="0"/>
          <w:numId w:val="2"/>
        </w:numPr>
        <w:ind w:left="0" w:firstLine="567"/>
        <w:jc w:val="both"/>
        <w:rPr>
          <w:sz w:val="26"/>
          <w:szCs w:val="26"/>
        </w:rPr>
      </w:pPr>
      <w:r w:rsidRPr="0011430E">
        <w:rPr>
          <w:sz w:val="26"/>
          <w:szCs w:val="26"/>
        </w:rPr>
        <w:t>фінансове управління.</w:t>
      </w:r>
    </w:p>
    <w:p w:rsidR="00D24EB8" w:rsidRPr="0011430E" w:rsidRDefault="00D24EB8" w:rsidP="00D24EB8">
      <w:pPr>
        <w:ind w:firstLine="360"/>
        <w:jc w:val="both"/>
        <w:rPr>
          <w:sz w:val="26"/>
          <w:szCs w:val="26"/>
        </w:rPr>
      </w:pPr>
    </w:p>
    <w:p w:rsidR="00D24EB8" w:rsidRPr="0011430E" w:rsidRDefault="00D24EB8" w:rsidP="00D24EB8">
      <w:pPr>
        <w:jc w:val="center"/>
        <w:rPr>
          <w:b/>
          <w:sz w:val="26"/>
          <w:szCs w:val="26"/>
          <w:u w:val="single"/>
        </w:rPr>
      </w:pPr>
      <w:r w:rsidRPr="0011430E">
        <w:rPr>
          <w:b/>
          <w:sz w:val="26"/>
          <w:szCs w:val="26"/>
          <w:u w:val="single"/>
        </w:rPr>
        <w:t>Головний розпорядник коштів «Тростянецька міська рада»</w:t>
      </w:r>
    </w:p>
    <w:p w:rsidR="00D24EB8" w:rsidRPr="0011430E" w:rsidRDefault="00D24EB8" w:rsidP="00D24EB8">
      <w:pPr>
        <w:jc w:val="center"/>
        <w:rPr>
          <w:b/>
          <w:sz w:val="26"/>
          <w:szCs w:val="26"/>
          <w:u w:val="single"/>
        </w:rPr>
      </w:pPr>
    </w:p>
    <w:p w:rsidR="00D24EB8" w:rsidRPr="0011430E" w:rsidRDefault="00D24EB8" w:rsidP="004F4D7E">
      <w:pPr>
        <w:ind w:firstLine="567"/>
        <w:jc w:val="both"/>
        <w:rPr>
          <w:sz w:val="26"/>
          <w:szCs w:val="26"/>
        </w:rPr>
      </w:pPr>
      <w:r w:rsidRPr="0011430E">
        <w:rPr>
          <w:sz w:val="26"/>
          <w:szCs w:val="26"/>
        </w:rPr>
        <w:t xml:space="preserve">На утримання апарату (відділи, ЦНАП, старостати) Тростянецької міської ради </w:t>
      </w:r>
      <w:r w:rsidRPr="0011430E">
        <w:rPr>
          <w:bCs/>
          <w:sz w:val="26"/>
          <w:szCs w:val="26"/>
        </w:rPr>
        <w:t>бюджетом Тростянецької міської територіальної громади на</w:t>
      </w:r>
      <w:r w:rsidRPr="0011430E">
        <w:rPr>
          <w:sz w:val="26"/>
          <w:szCs w:val="26"/>
        </w:rPr>
        <w:t xml:space="preserve"> 202</w:t>
      </w:r>
      <w:r w:rsidR="00134CBA" w:rsidRPr="0011430E">
        <w:rPr>
          <w:sz w:val="26"/>
          <w:szCs w:val="26"/>
        </w:rPr>
        <w:t>6</w:t>
      </w:r>
      <w:r w:rsidRPr="0011430E">
        <w:rPr>
          <w:sz w:val="26"/>
          <w:szCs w:val="26"/>
        </w:rPr>
        <w:t xml:space="preserve"> рік передбачено </w:t>
      </w:r>
      <w:r w:rsidR="009C7B95" w:rsidRPr="0011430E">
        <w:rPr>
          <w:sz w:val="26"/>
          <w:szCs w:val="26"/>
        </w:rPr>
        <w:t>38 242,4</w:t>
      </w:r>
      <w:r w:rsidRPr="0011430E">
        <w:rPr>
          <w:sz w:val="26"/>
          <w:szCs w:val="26"/>
        </w:rPr>
        <w:t xml:space="preserve"> тис. гривень, у тому числі заробітна плата з нарахуванням – </w:t>
      </w:r>
      <w:r w:rsidR="00134CBA" w:rsidRPr="0011430E">
        <w:rPr>
          <w:sz w:val="26"/>
          <w:szCs w:val="26"/>
        </w:rPr>
        <w:t>31</w:t>
      </w:r>
      <w:r w:rsidR="00A22A43">
        <w:rPr>
          <w:sz w:val="26"/>
          <w:szCs w:val="26"/>
        </w:rPr>
        <w:t> </w:t>
      </w:r>
      <w:r w:rsidR="00134CBA" w:rsidRPr="0011430E">
        <w:rPr>
          <w:sz w:val="26"/>
          <w:szCs w:val="26"/>
        </w:rPr>
        <w:t>110</w:t>
      </w:r>
      <w:r w:rsidR="00A22A43">
        <w:rPr>
          <w:sz w:val="26"/>
          <w:szCs w:val="26"/>
        </w:rPr>
        <w:t>,</w:t>
      </w:r>
      <w:r w:rsidR="00134CBA" w:rsidRPr="0011430E">
        <w:rPr>
          <w:sz w:val="26"/>
          <w:szCs w:val="26"/>
        </w:rPr>
        <w:t>0</w:t>
      </w:r>
      <w:r w:rsidRPr="0011430E">
        <w:rPr>
          <w:sz w:val="26"/>
          <w:szCs w:val="26"/>
        </w:rPr>
        <w:t xml:space="preserve"> тис. гривень, комунальні послуги та енергоносії </w:t>
      </w:r>
      <w:r w:rsidR="00134CBA" w:rsidRPr="0011430E">
        <w:rPr>
          <w:sz w:val="26"/>
          <w:szCs w:val="26"/>
        </w:rPr>
        <w:t>1681</w:t>
      </w:r>
      <w:r w:rsidR="00A22A43">
        <w:rPr>
          <w:sz w:val="26"/>
          <w:szCs w:val="26"/>
        </w:rPr>
        <w:t>,</w:t>
      </w:r>
      <w:r w:rsidR="00134CBA" w:rsidRPr="0011430E">
        <w:rPr>
          <w:sz w:val="26"/>
          <w:szCs w:val="26"/>
        </w:rPr>
        <w:t>4</w:t>
      </w:r>
      <w:r w:rsidRPr="0011430E">
        <w:rPr>
          <w:sz w:val="26"/>
          <w:szCs w:val="26"/>
        </w:rPr>
        <w:t xml:space="preserve"> тис. гривень.</w:t>
      </w:r>
    </w:p>
    <w:p w:rsidR="00D24EB8" w:rsidRPr="0011430E" w:rsidRDefault="00D24EB8" w:rsidP="004F4D7E">
      <w:pPr>
        <w:ind w:firstLine="567"/>
        <w:jc w:val="both"/>
        <w:rPr>
          <w:sz w:val="26"/>
          <w:szCs w:val="26"/>
        </w:rPr>
      </w:pPr>
      <w:r w:rsidRPr="0011430E">
        <w:rPr>
          <w:sz w:val="26"/>
          <w:szCs w:val="26"/>
        </w:rPr>
        <w:t>На утримання відділу «Служба у справах дітей» Тростянецької міської ради передбачено на 202</w:t>
      </w:r>
      <w:r w:rsidR="00134CBA" w:rsidRPr="0011430E">
        <w:rPr>
          <w:sz w:val="26"/>
          <w:szCs w:val="26"/>
          <w:lang w:val="ru-RU"/>
        </w:rPr>
        <w:t>6</w:t>
      </w:r>
      <w:r w:rsidRPr="0011430E">
        <w:rPr>
          <w:sz w:val="26"/>
          <w:szCs w:val="26"/>
        </w:rPr>
        <w:t xml:space="preserve"> рік </w:t>
      </w:r>
      <w:r w:rsidR="00134CBA" w:rsidRPr="0011430E">
        <w:rPr>
          <w:sz w:val="26"/>
          <w:szCs w:val="26"/>
          <w:lang w:val="ru-RU"/>
        </w:rPr>
        <w:t>791</w:t>
      </w:r>
      <w:r w:rsidR="00A22A43">
        <w:rPr>
          <w:sz w:val="26"/>
          <w:szCs w:val="26"/>
          <w:lang w:val="ru-RU"/>
        </w:rPr>
        <w:t>,</w:t>
      </w:r>
      <w:r w:rsidR="00134CBA" w:rsidRPr="0011430E">
        <w:rPr>
          <w:sz w:val="26"/>
          <w:szCs w:val="26"/>
          <w:lang w:val="ru-RU"/>
        </w:rPr>
        <w:t>9</w:t>
      </w:r>
      <w:r w:rsidRPr="0011430E">
        <w:rPr>
          <w:sz w:val="26"/>
          <w:szCs w:val="26"/>
        </w:rPr>
        <w:t xml:space="preserve"> тис. гривень, у тому числі видатки на оплату праці з нарахуваннями </w:t>
      </w:r>
      <w:r w:rsidR="005F0B2E" w:rsidRPr="0011430E">
        <w:rPr>
          <w:sz w:val="26"/>
          <w:szCs w:val="26"/>
          <w:lang w:val="ru-RU"/>
        </w:rPr>
        <w:t>730</w:t>
      </w:r>
      <w:r w:rsidR="00A22A43">
        <w:rPr>
          <w:sz w:val="26"/>
          <w:szCs w:val="26"/>
          <w:lang w:val="ru-RU"/>
        </w:rPr>
        <w:t>,</w:t>
      </w:r>
      <w:r w:rsidR="005F0B2E" w:rsidRPr="0011430E">
        <w:rPr>
          <w:sz w:val="26"/>
          <w:szCs w:val="26"/>
          <w:lang w:val="ru-RU"/>
        </w:rPr>
        <w:t>1</w:t>
      </w:r>
      <w:r w:rsidRPr="0011430E">
        <w:rPr>
          <w:sz w:val="26"/>
          <w:szCs w:val="26"/>
        </w:rPr>
        <w:t xml:space="preserve"> тис. гривень, видатки на енергоносії </w:t>
      </w:r>
      <w:r w:rsidR="005F0B2E" w:rsidRPr="0011430E">
        <w:rPr>
          <w:sz w:val="26"/>
          <w:szCs w:val="26"/>
          <w:lang w:val="ru-RU"/>
        </w:rPr>
        <w:t>44.8</w:t>
      </w:r>
      <w:r w:rsidRPr="0011430E">
        <w:rPr>
          <w:sz w:val="26"/>
          <w:szCs w:val="26"/>
        </w:rPr>
        <w:t xml:space="preserve"> тис. гривень.</w:t>
      </w:r>
    </w:p>
    <w:p w:rsidR="00D24EB8" w:rsidRDefault="00E1703C" w:rsidP="004F4D7E">
      <w:pPr>
        <w:ind w:firstLine="567"/>
        <w:jc w:val="both"/>
        <w:rPr>
          <w:sz w:val="26"/>
          <w:szCs w:val="26"/>
        </w:rPr>
      </w:pPr>
      <w:r w:rsidRPr="00E1703C">
        <w:rPr>
          <w:sz w:val="26"/>
          <w:szCs w:val="26"/>
        </w:rPr>
        <w:t>На</w:t>
      </w:r>
      <w:r>
        <w:rPr>
          <w:b/>
          <w:bCs/>
          <w:sz w:val="26"/>
          <w:szCs w:val="26"/>
        </w:rPr>
        <w:t xml:space="preserve"> і</w:t>
      </w:r>
      <w:r w:rsidR="000858C5" w:rsidRPr="000858C5">
        <w:rPr>
          <w:b/>
          <w:bCs/>
          <w:sz w:val="26"/>
          <w:szCs w:val="26"/>
        </w:rPr>
        <w:t>нш</w:t>
      </w:r>
      <w:r>
        <w:rPr>
          <w:b/>
          <w:bCs/>
          <w:sz w:val="26"/>
          <w:szCs w:val="26"/>
        </w:rPr>
        <w:t>у</w:t>
      </w:r>
      <w:r w:rsidR="000858C5" w:rsidRPr="000858C5">
        <w:rPr>
          <w:b/>
          <w:bCs/>
          <w:sz w:val="26"/>
          <w:szCs w:val="26"/>
        </w:rPr>
        <w:t xml:space="preserve"> діяльність у сфері державного управління</w:t>
      </w:r>
      <w:r w:rsidR="000858C5">
        <w:rPr>
          <w:sz w:val="26"/>
          <w:szCs w:val="26"/>
        </w:rPr>
        <w:t xml:space="preserve"> </w:t>
      </w:r>
      <w:r>
        <w:rPr>
          <w:sz w:val="26"/>
          <w:szCs w:val="26"/>
        </w:rPr>
        <w:t>передбачено видатки</w:t>
      </w:r>
      <w:r w:rsidR="00A22A43" w:rsidRPr="00A22A43">
        <w:rPr>
          <w:sz w:val="26"/>
          <w:szCs w:val="26"/>
        </w:rPr>
        <w:t xml:space="preserve"> в сумі </w:t>
      </w:r>
      <w:r>
        <w:rPr>
          <w:sz w:val="26"/>
          <w:szCs w:val="26"/>
        </w:rPr>
        <w:t xml:space="preserve"> 2 103,4 тис. гривень. Із них </w:t>
      </w:r>
      <w:r w:rsidR="006619AB" w:rsidRPr="00A22A43">
        <w:rPr>
          <w:sz w:val="26"/>
          <w:szCs w:val="26"/>
        </w:rPr>
        <w:t>1</w:t>
      </w:r>
      <w:r w:rsidR="009C7B95" w:rsidRPr="00A22A43">
        <w:rPr>
          <w:sz w:val="26"/>
          <w:szCs w:val="26"/>
        </w:rPr>
        <w:t>476,0</w:t>
      </w:r>
      <w:r w:rsidR="00D24EB8" w:rsidRPr="00A22A43">
        <w:rPr>
          <w:sz w:val="26"/>
          <w:szCs w:val="26"/>
        </w:rPr>
        <w:t xml:space="preserve"> тис. гривень</w:t>
      </w:r>
      <w:r w:rsidR="00A22A43" w:rsidRPr="00A22A43">
        <w:rPr>
          <w:sz w:val="26"/>
          <w:szCs w:val="26"/>
        </w:rPr>
        <w:t xml:space="preserve"> направлено</w:t>
      </w:r>
      <w:r w:rsidR="00A22A43">
        <w:rPr>
          <w:sz w:val="26"/>
          <w:szCs w:val="26"/>
        </w:rPr>
        <w:t xml:space="preserve"> на реалізацію трьох місцевих програм, а саме:</w:t>
      </w:r>
    </w:p>
    <w:p w:rsidR="00A22A43" w:rsidRDefault="00A22A43" w:rsidP="004F4D7E">
      <w:pPr>
        <w:ind w:firstLine="567"/>
        <w:jc w:val="both"/>
        <w:rPr>
          <w:sz w:val="26"/>
          <w:szCs w:val="26"/>
        </w:rPr>
      </w:pPr>
      <w:r>
        <w:rPr>
          <w:sz w:val="26"/>
          <w:szCs w:val="26"/>
        </w:rPr>
        <w:t>- «Програма забезпечення діяльності депутатів Тростянецької міської ради та органів самоорганізації населення на 2023-2026 роки»;</w:t>
      </w:r>
    </w:p>
    <w:p w:rsidR="00A22A43" w:rsidRDefault="00A22A43" w:rsidP="004F4D7E">
      <w:pPr>
        <w:ind w:firstLine="567"/>
        <w:jc w:val="both"/>
        <w:rPr>
          <w:sz w:val="26"/>
          <w:szCs w:val="26"/>
        </w:rPr>
      </w:pPr>
      <w:r>
        <w:rPr>
          <w:sz w:val="26"/>
          <w:szCs w:val="26"/>
        </w:rPr>
        <w:t>- «Програма ефективного використання та утримання майна комунальної власності Тростянецької міської територіальної громади на 2024-2026 роки»;</w:t>
      </w:r>
    </w:p>
    <w:p w:rsidR="00A22A43" w:rsidRDefault="00A22A43" w:rsidP="004F4D7E">
      <w:pPr>
        <w:ind w:firstLine="567"/>
        <w:jc w:val="both"/>
        <w:rPr>
          <w:sz w:val="26"/>
          <w:szCs w:val="26"/>
        </w:rPr>
      </w:pPr>
      <w:r>
        <w:rPr>
          <w:sz w:val="26"/>
          <w:szCs w:val="26"/>
        </w:rPr>
        <w:t>- «Комплексна програма «Безпечна громада» на 2024-2026 роки».</w:t>
      </w:r>
    </w:p>
    <w:p w:rsidR="000858C5" w:rsidRPr="0011430E" w:rsidRDefault="000858C5" w:rsidP="000858C5">
      <w:pPr>
        <w:ind w:firstLine="567"/>
        <w:jc w:val="both"/>
        <w:rPr>
          <w:sz w:val="26"/>
          <w:szCs w:val="26"/>
        </w:rPr>
      </w:pPr>
      <w:r w:rsidRPr="0011430E">
        <w:rPr>
          <w:sz w:val="26"/>
          <w:szCs w:val="26"/>
        </w:rPr>
        <w:t xml:space="preserve">На утримання Комунальної установи Тростянецької міської ради «Тростянецький трудовий архів» </w:t>
      </w:r>
      <w:r w:rsidRPr="0011430E">
        <w:rPr>
          <w:bCs/>
          <w:sz w:val="26"/>
          <w:szCs w:val="26"/>
        </w:rPr>
        <w:t>бюджетом Тростянецької міської територіальної громади на</w:t>
      </w:r>
      <w:r w:rsidRPr="0011430E">
        <w:rPr>
          <w:sz w:val="26"/>
          <w:szCs w:val="26"/>
        </w:rPr>
        <w:t xml:space="preserve"> 2026 рік передбачено 627,4 тис. гривень, в т</w:t>
      </w:r>
      <w:r>
        <w:rPr>
          <w:sz w:val="26"/>
          <w:szCs w:val="26"/>
        </w:rPr>
        <w:t>ому числі</w:t>
      </w:r>
      <w:r w:rsidRPr="0011430E">
        <w:rPr>
          <w:sz w:val="26"/>
          <w:szCs w:val="26"/>
        </w:rPr>
        <w:t xml:space="preserve"> оплата праці з нарахуваннями 503,5 тис. гривень, </w:t>
      </w:r>
      <w:r w:rsidR="00E1703C">
        <w:rPr>
          <w:sz w:val="26"/>
          <w:szCs w:val="26"/>
        </w:rPr>
        <w:t xml:space="preserve">комунальні послуги та </w:t>
      </w:r>
      <w:r w:rsidRPr="0011430E">
        <w:rPr>
          <w:sz w:val="26"/>
          <w:szCs w:val="26"/>
        </w:rPr>
        <w:t xml:space="preserve">енергоносії – 60,5 тис. гривень. </w:t>
      </w:r>
    </w:p>
    <w:p w:rsidR="00D24EB8" w:rsidRDefault="00D24EB8" w:rsidP="00D24EB8">
      <w:pPr>
        <w:jc w:val="center"/>
        <w:rPr>
          <w:b/>
          <w:sz w:val="26"/>
          <w:szCs w:val="26"/>
        </w:rPr>
      </w:pPr>
      <w:r w:rsidRPr="0011430E">
        <w:rPr>
          <w:b/>
          <w:sz w:val="26"/>
          <w:szCs w:val="26"/>
        </w:rPr>
        <w:t>Охорона здоров'я</w:t>
      </w:r>
    </w:p>
    <w:p w:rsidR="00F104D2" w:rsidRPr="0011430E" w:rsidRDefault="00F104D2" w:rsidP="00D24EB8">
      <w:pPr>
        <w:jc w:val="center"/>
        <w:rPr>
          <w:b/>
          <w:sz w:val="26"/>
          <w:szCs w:val="26"/>
        </w:rPr>
      </w:pPr>
    </w:p>
    <w:p w:rsidR="00D24EB8" w:rsidRPr="0011430E" w:rsidRDefault="00D24EB8" w:rsidP="00D24EB8">
      <w:pPr>
        <w:ind w:firstLine="567"/>
        <w:jc w:val="both"/>
        <w:rPr>
          <w:sz w:val="26"/>
          <w:szCs w:val="26"/>
        </w:rPr>
      </w:pPr>
      <w:r w:rsidRPr="0011430E">
        <w:rPr>
          <w:sz w:val="26"/>
          <w:szCs w:val="26"/>
        </w:rPr>
        <w:t xml:space="preserve">У бюджеті </w:t>
      </w:r>
      <w:r w:rsidRPr="0011430E">
        <w:rPr>
          <w:bCs/>
          <w:sz w:val="26"/>
          <w:szCs w:val="26"/>
        </w:rPr>
        <w:t>Тростянецької міської територіальної громади на</w:t>
      </w:r>
      <w:r w:rsidRPr="0011430E">
        <w:rPr>
          <w:sz w:val="26"/>
          <w:szCs w:val="26"/>
        </w:rPr>
        <w:t xml:space="preserve"> 202</w:t>
      </w:r>
      <w:r w:rsidR="006619AB" w:rsidRPr="0011430E">
        <w:rPr>
          <w:sz w:val="26"/>
          <w:szCs w:val="26"/>
        </w:rPr>
        <w:t>6</w:t>
      </w:r>
      <w:r w:rsidRPr="0011430E">
        <w:rPr>
          <w:sz w:val="26"/>
          <w:szCs w:val="26"/>
        </w:rPr>
        <w:t xml:space="preserve"> рік видатки по галузі охорона здоров’я передбачені в сумі </w:t>
      </w:r>
      <w:r w:rsidR="00976085" w:rsidRPr="008E4A10">
        <w:rPr>
          <w:sz w:val="26"/>
          <w:szCs w:val="26"/>
        </w:rPr>
        <w:t>14 089,0</w:t>
      </w:r>
      <w:r w:rsidRPr="008E4A10">
        <w:rPr>
          <w:sz w:val="26"/>
          <w:szCs w:val="26"/>
        </w:rPr>
        <w:t xml:space="preserve"> тис. гривень</w:t>
      </w:r>
      <w:r w:rsidR="009C7B95" w:rsidRPr="008E4A10">
        <w:rPr>
          <w:sz w:val="26"/>
          <w:szCs w:val="26"/>
        </w:rPr>
        <w:t xml:space="preserve">. </w:t>
      </w:r>
      <w:r w:rsidRPr="008E4A10">
        <w:rPr>
          <w:sz w:val="26"/>
          <w:szCs w:val="26"/>
        </w:rPr>
        <w:t xml:space="preserve">Так, на фінансування КНП «Тростянецька міська лікарня» Тростянецької міської ради плануються видатки в сумі </w:t>
      </w:r>
      <w:r w:rsidR="00976085" w:rsidRPr="008E4A10">
        <w:rPr>
          <w:sz w:val="26"/>
          <w:szCs w:val="26"/>
        </w:rPr>
        <w:t>7 3</w:t>
      </w:r>
      <w:r w:rsidR="009C7B95" w:rsidRPr="008E4A10">
        <w:rPr>
          <w:sz w:val="26"/>
          <w:szCs w:val="26"/>
        </w:rPr>
        <w:t>90,0</w:t>
      </w:r>
      <w:r w:rsidRPr="008E4A10">
        <w:rPr>
          <w:sz w:val="26"/>
          <w:szCs w:val="26"/>
        </w:rPr>
        <w:t xml:space="preserve"> тис. гривень, в тому числі </w:t>
      </w:r>
      <w:r w:rsidR="008E4A10">
        <w:rPr>
          <w:sz w:val="26"/>
          <w:szCs w:val="26"/>
        </w:rPr>
        <w:t>6 0</w:t>
      </w:r>
      <w:r w:rsidR="006619AB" w:rsidRPr="008E4A10">
        <w:rPr>
          <w:sz w:val="26"/>
          <w:szCs w:val="26"/>
        </w:rPr>
        <w:t>00,0</w:t>
      </w:r>
      <w:r w:rsidRPr="008E4A10">
        <w:rPr>
          <w:sz w:val="26"/>
          <w:szCs w:val="26"/>
        </w:rPr>
        <w:t xml:space="preserve"> тис. гривень</w:t>
      </w:r>
      <w:r w:rsidR="00976085" w:rsidRPr="008E4A10">
        <w:rPr>
          <w:sz w:val="26"/>
          <w:szCs w:val="26"/>
        </w:rPr>
        <w:t xml:space="preserve"> на оплату комунальних послуг та</w:t>
      </w:r>
      <w:r w:rsidRPr="008E4A10">
        <w:rPr>
          <w:sz w:val="26"/>
          <w:szCs w:val="26"/>
        </w:rPr>
        <w:t xml:space="preserve"> енергоносії</w:t>
      </w:r>
      <w:r w:rsidR="00976085" w:rsidRPr="008E4A10">
        <w:rPr>
          <w:sz w:val="26"/>
          <w:szCs w:val="26"/>
        </w:rPr>
        <w:t>в</w:t>
      </w:r>
      <w:r w:rsidR="004F4D7E" w:rsidRPr="008E4A10">
        <w:rPr>
          <w:sz w:val="26"/>
          <w:szCs w:val="26"/>
        </w:rPr>
        <w:t xml:space="preserve">, </w:t>
      </w:r>
      <w:r w:rsidR="00976085" w:rsidRPr="008E4A10">
        <w:rPr>
          <w:sz w:val="26"/>
          <w:szCs w:val="26"/>
        </w:rPr>
        <w:t>(</w:t>
      </w:r>
      <w:r w:rsidR="00614AE9">
        <w:rPr>
          <w:sz w:val="26"/>
          <w:szCs w:val="26"/>
        </w:rPr>
        <w:t xml:space="preserve">5 500,0 тис. гривень кошти громади, </w:t>
      </w:r>
      <w:r w:rsidR="004F4D7E" w:rsidRPr="008E4A10">
        <w:rPr>
          <w:sz w:val="26"/>
          <w:szCs w:val="26"/>
        </w:rPr>
        <w:t xml:space="preserve"> </w:t>
      </w:r>
      <w:r w:rsidR="00976085" w:rsidRPr="008E4A10">
        <w:rPr>
          <w:sz w:val="26"/>
          <w:szCs w:val="26"/>
        </w:rPr>
        <w:t>5</w:t>
      </w:r>
      <w:r w:rsidR="004F4D7E" w:rsidRPr="008E4A10">
        <w:rPr>
          <w:sz w:val="26"/>
          <w:szCs w:val="26"/>
        </w:rPr>
        <w:t>00</w:t>
      </w:r>
      <w:r w:rsidR="00976085" w:rsidRPr="008E4A10">
        <w:rPr>
          <w:sz w:val="26"/>
          <w:szCs w:val="26"/>
        </w:rPr>
        <w:t>,0</w:t>
      </w:r>
      <w:r w:rsidR="004F4D7E" w:rsidRPr="008E4A10">
        <w:rPr>
          <w:sz w:val="26"/>
          <w:szCs w:val="26"/>
        </w:rPr>
        <w:t xml:space="preserve"> тис. гривень – субвенція Боромлянської сільської територіальної громади</w:t>
      </w:r>
      <w:r w:rsidR="00976085" w:rsidRPr="008E4A10">
        <w:rPr>
          <w:sz w:val="26"/>
          <w:szCs w:val="26"/>
        </w:rPr>
        <w:t>)</w:t>
      </w:r>
      <w:r w:rsidRPr="008E4A10">
        <w:rPr>
          <w:sz w:val="26"/>
          <w:szCs w:val="26"/>
        </w:rPr>
        <w:t>.</w:t>
      </w:r>
    </w:p>
    <w:p w:rsidR="00D24EB8" w:rsidRPr="0011430E" w:rsidRDefault="00D24EB8" w:rsidP="00D24EB8">
      <w:pPr>
        <w:ind w:firstLine="567"/>
        <w:jc w:val="both"/>
        <w:rPr>
          <w:sz w:val="26"/>
          <w:szCs w:val="26"/>
        </w:rPr>
      </w:pPr>
      <w:r w:rsidRPr="0011430E">
        <w:rPr>
          <w:sz w:val="26"/>
          <w:szCs w:val="26"/>
        </w:rPr>
        <w:t xml:space="preserve">На фінансування первинної медичної допомоги населенню передбачено кошти у сумі </w:t>
      </w:r>
      <w:r w:rsidR="009C7B95" w:rsidRPr="0011430E">
        <w:rPr>
          <w:sz w:val="26"/>
          <w:szCs w:val="26"/>
        </w:rPr>
        <w:t>6 699,0</w:t>
      </w:r>
      <w:r w:rsidRPr="0011430E">
        <w:rPr>
          <w:sz w:val="26"/>
          <w:szCs w:val="26"/>
        </w:rPr>
        <w:t xml:space="preserve"> тис. гривень, у тому числі заробітна плата з нарахуваннями </w:t>
      </w:r>
      <w:r w:rsidR="005E435C">
        <w:rPr>
          <w:sz w:val="26"/>
          <w:szCs w:val="26"/>
        </w:rPr>
        <w:t xml:space="preserve">                       </w:t>
      </w:r>
      <w:r w:rsidRPr="0011430E">
        <w:rPr>
          <w:sz w:val="26"/>
          <w:szCs w:val="26"/>
        </w:rPr>
        <w:t>2</w:t>
      </w:r>
      <w:r w:rsidR="008A41DC" w:rsidRPr="0011430E">
        <w:rPr>
          <w:sz w:val="26"/>
          <w:szCs w:val="26"/>
        </w:rPr>
        <w:t> 449,0</w:t>
      </w:r>
      <w:r w:rsidRPr="0011430E">
        <w:rPr>
          <w:sz w:val="26"/>
          <w:szCs w:val="26"/>
        </w:rPr>
        <w:t xml:space="preserve"> тис. гривень, орфанні захворювання, комунальні послуги та енергоносії – видатки у сумі </w:t>
      </w:r>
      <w:r w:rsidR="008A41DC" w:rsidRPr="0011430E">
        <w:rPr>
          <w:sz w:val="26"/>
          <w:szCs w:val="26"/>
        </w:rPr>
        <w:t>3 300,0</w:t>
      </w:r>
      <w:r w:rsidRPr="0011430E">
        <w:rPr>
          <w:sz w:val="26"/>
          <w:szCs w:val="26"/>
        </w:rPr>
        <w:t xml:space="preserve"> тис. гривень</w:t>
      </w:r>
      <w:r w:rsidR="009C7B95" w:rsidRPr="0011430E">
        <w:rPr>
          <w:sz w:val="26"/>
          <w:szCs w:val="26"/>
        </w:rPr>
        <w:t>.</w:t>
      </w:r>
      <w:r w:rsidRPr="0011430E">
        <w:rPr>
          <w:sz w:val="26"/>
          <w:szCs w:val="26"/>
        </w:rPr>
        <w:t xml:space="preserve"> </w:t>
      </w:r>
    </w:p>
    <w:p w:rsidR="00D24EB8" w:rsidRDefault="00BD7B74" w:rsidP="00D24EB8">
      <w:pPr>
        <w:ind w:firstLine="567"/>
        <w:jc w:val="both"/>
        <w:rPr>
          <w:sz w:val="26"/>
          <w:szCs w:val="26"/>
        </w:rPr>
      </w:pPr>
      <w:r>
        <w:rPr>
          <w:b/>
          <w:sz w:val="26"/>
          <w:szCs w:val="26"/>
        </w:rPr>
        <w:t>На і</w:t>
      </w:r>
      <w:r w:rsidR="00D24EB8" w:rsidRPr="0011430E">
        <w:rPr>
          <w:b/>
          <w:sz w:val="26"/>
          <w:szCs w:val="26"/>
        </w:rPr>
        <w:t>нші заходи у сфері соціального захисту і соціального забезпечення</w:t>
      </w:r>
      <w:r>
        <w:rPr>
          <w:b/>
          <w:sz w:val="26"/>
          <w:szCs w:val="26"/>
        </w:rPr>
        <w:t xml:space="preserve"> </w:t>
      </w:r>
      <w:r w:rsidRPr="00BD7B74">
        <w:rPr>
          <w:bCs/>
          <w:sz w:val="26"/>
          <w:szCs w:val="26"/>
        </w:rPr>
        <w:t>передбач</w:t>
      </w:r>
      <w:r w:rsidR="0038564A">
        <w:rPr>
          <w:bCs/>
          <w:sz w:val="26"/>
          <w:szCs w:val="26"/>
        </w:rPr>
        <w:t>е</w:t>
      </w:r>
      <w:r w:rsidRPr="00BD7B74">
        <w:rPr>
          <w:bCs/>
          <w:sz w:val="26"/>
          <w:szCs w:val="26"/>
        </w:rPr>
        <w:t>но кошти</w:t>
      </w:r>
      <w:r w:rsidR="00D24EB8" w:rsidRPr="0011430E">
        <w:rPr>
          <w:sz w:val="26"/>
          <w:szCs w:val="26"/>
        </w:rPr>
        <w:t xml:space="preserve"> у сумі </w:t>
      </w:r>
      <w:r w:rsidR="008A41DC" w:rsidRPr="0011430E">
        <w:rPr>
          <w:sz w:val="26"/>
          <w:szCs w:val="26"/>
        </w:rPr>
        <w:t>550</w:t>
      </w:r>
      <w:r w:rsidR="00D24EB8" w:rsidRPr="0011430E">
        <w:rPr>
          <w:sz w:val="26"/>
          <w:szCs w:val="26"/>
        </w:rPr>
        <w:t xml:space="preserve">,0 тис. гривень на </w:t>
      </w:r>
      <w:r w:rsidR="00FF6AB4" w:rsidRPr="0011430E">
        <w:rPr>
          <w:sz w:val="26"/>
          <w:szCs w:val="26"/>
        </w:rPr>
        <w:t>реалізацію соціальних проектів.</w:t>
      </w:r>
    </w:p>
    <w:p w:rsidR="00274E9E" w:rsidRPr="0011430E" w:rsidRDefault="00274E9E" w:rsidP="00D24EB8">
      <w:pPr>
        <w:ind w:firstLine="567"/>
        <w:jc w:val="both"/>
        <w:rPr>
          <w:sz w:val="26"/>
          <w:szCs w:val="26"/>
        </w:rPr>
      </w:pPr>
    </w:p>
    <w:p w:rsidR="00F104D2" w:rsidRDefault="00F104D2" w:rsidP="00D24EB8">
      <w:pPr>
        <w:jc w:val="center"/>
        <w:rPr>
          <w:b/>
          <w:sz w:val="26"/>
          <w:szCs w:val="26"/>
        </w:rPr>
      </w:pPr>
    </w:p>
    <w:p w:rsidR="00F104D2" w:rsidRDefault="00F104D2" w:rsidP="00D24EB8">
      <w:pPr>
        <w:jc w:val="center"/>
        <w:rPr>
          <w:b/>
          <w:sz w:val="26"/>
          <w:szCs w:val="26"/>
        </w:rPr>
      </w:pPr>
    </w:p>
    <w:p w:rsidR="00D24EB8" w:rsidRPr="0011430E" w:rsidRDefault="00D24EB8" w:rsidP="00D24EB8">
      <w:pPr>
        <w:jc w:val="center"/>
        <w:rPr>
          <w:b/>
          <w:sz w:val="26"/>
          <w:szCs w:val="26"/>
        </w:rPr>
      </w:pPr>
      <w:r w:rsidRPr="0011430E">
        <w:rPr>
          <w:b/>
          <w:sz w:val="26"/>
          <w:szCs w:val="26"/>
        </w:rPr>
        <w:lastRenderedPageBreak/>
        <w:t>Житлово-комунальне господарство</w:t>
      </w:r>
    </w:p>
    <w:p w:rsidR="00D24EB8" w:rsidRPr="0011430E" w:rsidRDefault="00D24EB8" w:rsidP="00D24EB8">
      <w:pPr>
        <w:ind w:firstLine="567"/>
        <w:jc w:val="both"/>
        <w:rPr>
          <w:sz w:val="26"/>
          <w:szCs w:val="26"/>
        </w:rPr>
      </w:pPr>
      <w:r w:rsidRPr="0011430E">
        <w:rPr>
          <w:sz w:val="26"/>
          <w:szCs w:val="26"/>
        </w:rPr>
        <w:t>У бюджеті</w:t>
      </w:r>
      <w:r w:rsidRPr="0011430E">
        <w:rPr>
          <w:b/>
          <w:sz w:val="26"/>
          <w:szCs w:val="26"/>
        </w:rPr>
        <w:t xml:space="preserve"> </w:t>
      </w:r>
      <w:r w:rsidRPr="0011430E">
        <w:rPr>
          <w:bCs/>
          <w:sz w:val="26"/>
          <w:szCs w:val="26"/>
        </w:rPr>
        <w:t>Тростянецької міської територіальної громади на</w:t>
      </w:r>
      <w:r w:rsidRPr="0011430E">
        <w:rPr>
          <w:sz w:val="26"/>
          <w:szCs w:val="26"/>
        </w:rPr>
        <w:t xml:space="preserve"> 202</w:t>
      </w:r>
      <w:r w:rsidR="008A41DC" w:rsidRPr="0011430E">
        <w:rPr>
          <w:sz w:val="26"/>
          <w:szCs w:val="26"/>
        </w:rPr>
        <w:t>6</w:t>
      </w:r>
      <w:r w:rsidRPr="0011430E">
        <w:rPr>
          <w:sz w:val="26"/>
          <w:szCs w:val="26"/>
        </w:rPr>
        <w:t xml:space="preserve"> рік видатки на житлово-комунальне господарство передбачені у сумі </w:t>
      </w:r>
      <w:r w:rsidR="009C7B95" w:rsidRPr="0011430E">
        <w:rPr>
          <w:sz w:val="26"/>
          <w:szCs w:val="26"/>
        </w:rPr>
        <w:t>42 0</w:t>
      </w:r>
      <w:r w:rsidR="004E5D4D" w:rsidRPr="0011430E">
        <w:rPr>
          <w:sz w:val="26"/>
          <w:szCs w:val="26"/>
        </w:rPr>
        <w:t>6</w:t>
      </w:r>
      <w:r w:rsidR="009C7B95" w:rsidRPr="0011430E">
        <w:rPr>
          <w:sz w:val="26"/>
          <w:szCs w:val="26"/>
        </w:rPr>
        <w:t>8,7</w:t>
      </w:r>
      <w:r w:rsidRPr="0011430E">
        <w:rPr>
          <w:sz w:val="26"/>
          <w:szCs w:val="26"/>
        </w:rPr>
        <w:t xml:space="preserve"> тис. гривень, </w:t>
      </w:r>
      <w:r w:rsidR="00924443">
        <w:rPr>
          <w:sz w:val="26"/>
          <w:szCs w:val="26"/>
        </w:rPr>
        <w:t>у</w:t>
      </w:r>
      <w:r w:rsidRPr="0011430E">
        <w:rPr>
          <w:sz w:val="26"/>
          <w:szCs w:val="26"/>
        </w:rPr>
        <w:t xml:space="preserve"> тому числі:</w:t>
      </w:r>
    </w:p>
    <w:p w:rsidR="00D24EB8" w:rsidRPr="0011430E" w:rsidRDefault="00D24EB8" w:rsidP="00D24EB8">
      <w:pPr>
        <w:ind w:firstLine="567"/>
        <w:jc w:val="both"/>
        <w:rPr>
          <w:sz w:val="26"/>
          <w:szCs w:val="26"/>
        </w:rPr>
      </w:pPr>
      <w:r w:rsidRPr="0011430E">
        <w:rPr>
          <w:sz w:val="26"/>
          <w:szCs w:val="26"/>
        </w:rPr>
        <w:t xml:space="preserve">- </w:t>
      </w:r>
      <w:r w:rsidRPr="0011430E">
        <w:rPr>
          <w:b/>
          <w:sz w:val="26"/>
          <w:szCs w:val="26"/>
        </w:rPr>
        <w:t xml:space="preserve">забезпечення збору та вивезення сміття </w:t>
      </w:r>
      <w:r w:rsidRPr="00924443">
        <w:rPr>
          <w:b/>
          <w:bCs/>
          <w:sz w:val="26"/>
          <w:szCs w:val="26"/>
        </w:rPr>
        <w:t>і відходів</w:t>
      </w:r>
      <w:r w:rsidRPr="0011430E">
        <w:rPr>
          <w:sz w:val="26"/>
          <w:szCs w:val="26"/>
        </w:rPr>
        <w:t xml:space="preserve"> у сумі 1 600,0 тис. гривень;</w:t>
      </w:r>
    </w:p>
    <w:p w:rsidR="00D24EB8" w:rsidRPr="0011430E" w:rsidRDefault="00D24EB8" w:rsidP="00D24EB8">
      <w:pPr>
        <w:ind w:firstLine="567"/>
        <w:jc w:val="both"/>
        <w:rPr>
          <w:sz w:val="26"/>
          <w:szCs w:val="26"/>
        </w:rPr>
      </w:pPr>
      <w:r w:rsidRPr="0011430E">
        <w:rPr>
          <w:sz w:val="26"/>
          <w:szCs w:val="26"/>
        </w:rPr>
        <w:t xml:space="preserve">- </w:t>
      </w:r>
      <w:r w:rsidRPr="0011430E">
        <w:rPr>
          <w:b/>
          <w:bCs/>
          <w:sz w:val="26"/>
          <w:szCs w:val="26"/>
        </w:rPr>
        <w:t>інша діяльність, пов’язана з експлуатацією об’єктів житлово-комунального господарства</w:t>
      </w:r>
      <w:r w:rsidRPr="0011430E">
        <w:rPr>
          <w:sz w:val="26"/>
          <w:szCs w:val="26"/>
        </w:rPr>
        <w:t xml:space="preserve"> у сумі </w:t>
      </w:r>
      <w:r w:rsidR="008A41DC" w:rsidRPr="0011430E">
        <w:rPr>
          <w:sz w:val="26"/>
          <w:szCs w:val="26"/>
        </w:rPr>
        <w:t>400,0</w:t>
      </w:r>
      <w:r w:rsidRPr="0011430E">
        <w:rPr>
          <w:sz w:val="26"/>
          <w:szCs w:val="26"/>
        </w:rPr>
        <w:t xml:space="preserve"> тис. гривень;</w:t>
      </w:r>
    </w:p>
    <w:p w:rsidR="00D24EB8" w:rsidRPr="006E375D" w:rsidRDefault="00D24EB8" w:rsidP="00D24EB8">
      <w:pPr>
        <w:ind w:firstLine="567"/>
        <w:jc w:val="both"/>
        <w:rPr>
          <w:sz w:val="26"/>
          <w:szCs w:val="26"/>
        </w:rPr>
      </w:pPr>
      <w:r w:rsidRPr="0011430E">
        <w:rPr>
          <w:sz w:val="26"/>
          <w:szCs w:val="26"/>
        </w:rPr>
        <w:t xml:space="preserve">- </w:t>
      </w:r>
      <w:r w:rsidRPr="0011430E">
        <w:rPr>
          <w:b/>
          <w:sz w:val="26"/>
          <w:szCs w:val="26"/>
        </w:rPr>
        <w:t>забезпечення функціонування підприємств, установ та організацій, що виробляють, виконують та/або надають житлово-комунальні послуги</w:t>
      </w:r>
      <w:r w:rsidRPr="0011430E">
        <w:rPr>
          <w:sz w:val="26"/>
          <w:szCs w:val="26"/>
        </w:rPr>
        <w:t xml:space="preserve"> у сумі </w:t>
      </w:r>
      <w:r w:rsidR="006F759A" w:rsidRPr="006E375D">
        <w:rPr>
          <w:sz w:val="26"/>
          <w:szCs w:val="26"/>
        </w:rPr>
        <w:t>6</w:t>
      </w:r>
      <w:r w:rsidR="004E5D4D" w:rsidRPr="006E375D">
        <w:rPr>
          <w:sz w:val="26"/>
          <w:szCs w:val="26"/>
        </w:rPr>
        <w:t> 805,2</w:t>
      </w:r>
      <w:r w:rsidRPr="006E375D">
        <w:rPr>
          <w:sz w:val="26"/>
          <w:szCs w:val="26"/>
        </w:rPr>
        <w:t xml:space="preserve"> тис. гривень</w:t>
      </w:r>
      <w:r w:rsidR="00D951D2">
        <w:rPr>
          <w:sz w:val="26"/>
          <w:szCs w:val="26"/>
        </w:rPr>
        <w:t xml:space="preserve"> (</w:t>
      </w:r>
      <w:r w:rsidRPr="00051C2A">
        <w:rPr>
          <w:sz w:val="26"/>
          <w:szCs w:val="26"/>
        </w:rPr>
        <w:t>ДП «Комунжитло»</w:t>
      </w:r>
      <w:r w:rsidR="005D458F" w:rsidRPr="00051C2A">
        <w:rPr>
          <w:sz w:val="26"/>
          <w:szCs w:val="26"/>
        </w:rPr>
        <w:t>,</w:t>
      </w:r>
      <w:r w:rsidRPr="00051C2A">
        <w:rPr>
          <w:sz w:val="26"/>
          <w:szCs w:val="26"/>
        </w:rPr>
        <w:t xml:space="preserve"> КП «Тростянецькомунсервіс»</w:t>
      </w:r>
      <w:r w:rsidR="00D951D2" w:rsidRPr="00051C2A">
        <w:rPr>
          <w:sz w:val="26"/>
          <w:szCs w:val="26"/>
        </w:rPr>
        <w:t>,</w:t>
      </w:r>
      <w:r w:rsidRPr="00051C2A">
        <w:rPr>
          <w:sz w:val="26"/>
          <w:szCs w:val="26"/>
        </w:rPr>
        <w:t xml:space="preserve"> </w:t>
      </w:r>
      <w:r w:rsidR="00D951D2" w:rsidRPr="00051C2A">
        <w:rPr>
          <w:sz w:val="26"/>
          <w:szCs w:val="26"/>
        </w:rPr>
        <w:t xml:space="preserve">                                   </w:t>
      </w:r>
      <w:r w:rsidRPr="00051C2A">
        <w:rPr>
          <w:sz w:val="26"/>
          <w:szCs w:val="26"/>
        </w:rPr>
        <w:t>ДП «Тростянець</w:t>
      </w:r>
      <w:r w:rsidR="0038564A" w:rsidRPr="00051C2A">
        <w:rPr>
          <w:sz w:val="26"/>
          <w:szCs w:val="26"/>
        </w:rPr>
        <w:t>п</w:t>
      </w:r>
      <w:r w:rsidRPr="00051C2A">
        <w:rPr>
          <w:sz w:val="26"/>
          <w:szCs w:val="26"/>
        </w:rPr>
        <w:t>астранс»</w:t>
      </w:r>
      <w:r w:rsidR="00D951D2" w:rsidRPr="00051C2A">
        <w:rPr>
          <w:sz w:val="26"/>
          <w:szCs w:val="26"/>
        </w:rPr>
        <w:t>,</w:t>
      </w:r>
      <w:r w:rsidRPr="00051C2A">
        <w:rPr>
          <w:sz w:val="26"/>
          <w:szCs w:val="26"/>
        </w:rPr>
        <w:t xml:space="preserve"> КП «Центр комунальних послуг»</w:t>
      </w:r>
      <w:r w:rsidR="00D951D2" w:rsidRPr="00051C2A">
        <w:rPr>
          <w:sz w:val="26"/>
          <w:szCs w:val="26"/>
        </w:rPr>
        <w:t xml:space="preserve">, </w:t>
      </w:r>
      <w:r w:rsidRPr="00051C2A">
        <w:rPr>
          <w:sz w:val="26"/>
          <w:szCs w:val="26"/>
        </w:rPr>
        <w:t>КП «</w:t>
      </w:r>
      <w:r w:rsidR="009A1F59" w:rsidRPr="00051C2A">
        <w:rPr>
          <w:sz w:val="26"/>
          <w:szCs w:val="26"/>
        </w:rPr>
        <w:t>ЖЕУ</w:t>
      </w:r>
      <w:r w:rsidRPr="00051C2A">
        <w:rPr>
          <w:sz w:val="26"/>
          <w:szCs w:val="26"/>
        </w:rPr>
        <w:t>»</w:t>
      </w:r>
      <w:r w:rsidR="00D951D2" w:rsidRPr="00051C2A">
        <w:rPr>
          <w:sz w:val="26"/>
          <w:szCs w:val="26"/>
        </w:rPr>
        <w:t xml:space="preserve">,                             </w:t>
      </w:r>
      <w:r w:rsidR="009A1F59" w:rsidRPr="00051C2A">
        <w:rPr>
          <w:sz w:val="26"/>
          <w:szCs w:val="26"/>
        </w:rPr>
        <w:t>КП «Тростянецька комунальна аптека»</w:t>
      </w:r>
      <w:r w:rsidR="00D951D2" w:rsidRPr="00051C2A">
        <w:rPr>
          <w:sz w:val="26"/>
          <w:szCs w:val="26"/>
        </w:rPr>
        <w:t xml:space="preserve">, </w:t>
      </w:r>
      <w:r w:rsidR="00852C2C" w:rsidRPr="00051C2A">
        <w:rPr>
          <w:sz w:val="26"/>
          <w:szCs w:val="26"/>
        </w:rPr>
        <w:t>ДП «Елегія»</w:t>
      </w:r>
      <w:r w:rsidR="00D951D2" w:rsidRPr="00051C2A">
        <w:rPr>
          <w:sz w:val="26"/>
          <w:szCs w:val="26"/>
        </w:rPr>
        <w:t xml:space="preserve">, </w:t>
      </w:r>
      <w:r w:rsidR="00251EEE" w:rsidRPr="00051C2A">
        <w:rPr>
          <w:sz w:val="26"/>
          <w:szCs w:val="26"/>
        </w:rPr>
        <w:t>КП «Агенція місцевого розвитку»</w:t>
      </w:r>
      <w:r w:rsidR="00D951D2" w:rsidRPr="00051C2A">
        <w:rPr>
          <w:sz w:val="26"/>
          <w:szCs w:val="26"/>
        </w:rPr>
        <w:t>,</w:t>
      </w:r>
      <w:r w:rsidR="00251EEE" w:rsidRPr="00051C2A">
        <w:rPr>
          <w:sz w:val="26"/>
          <w:szCs w:val="26"/>
        </w:rPr>
        <w:t xml:space="preserve"> КП «Чисте місто»</w:t>
      </w:r>
      <w:r w:rsidR="00D951D2" w:rsidRPr="00051C2A">
        <w:rPr>
          <w:sz w:val="26"/>
          <w:szCs w:val="26"/>
        </w:rPr>
        <w:t xml:space="preserve">, </w:t>
      </w:r>
      <w:r w:rsidR="004E5D4D" w:rsidRPr="00051C2A">
        <w:rPr>
          <w:sz w:val="26"/>
          <w:szCs w:val="26"/>
        </w:rPr>
        <w:t>КП «</w:t>
      </w:r>
      <w:r w:rsidR="00134A2E" w:rsidRPr="00051C2A">
        <w:rPr>
          <w:sz w:val="26"/>
          <w:szCs w:val="26"/>
        </w:rPr>
        <w:t>Тростянецька міська р</w:t>
      </w:r>
      <w:r w:rsidR="004E5D4D" w:rsidRPr="00051C2A">
        <w:rPr>
          <w:sz w:val="26"/>
          <w:szCs w:val="26"/>
        </w:rPr>
        <w:t>итуаль</w:t>
      </w:r>
      <w:r w:rsidR="00971EA1" w:rsidRPr="00051C2A">
        <w:rPr>
          <w:sz w:val="26"/>
          <w:szCs w:val="26"/>
        </w:rPr>
        <w:t>на служба»</w:t>
      </w:r>
      <w:r w:rsidR="00D951D2" w:rsidRPr="00051C2A">
        <w:rPr>
          <w:sz w:val="26"/>
          <w:szCs w:val="26"/>
        </w:rPr>
        <w:t xml:space="preserve">,                            </w:t>
      </w:r>
      <w:r w:rsidR="00971EA1" w:rsidRPr="00051C2A">
        <w:rPr>
          <w:sz w:val="26"/>
          <w:szCs w:val="26"/>
        </w:rPr>
        <w:t xml:space="preserve"> </w:t>
      </w:r>
      <w:r w:rsidR="00852C2C" w:rsidRPr="00051C2A">
        <w:rPr>
          <w:sz w:val="26"/>
          <w:szCs w:val="26"/>
        </w:rPr>
        <w:t>ДП «Екосервіс»</w:t>
      </w:r>
      <w:r w:rsidR="00051C2A" w:rsidRPr="00051C2A">
        <w:rPr>
          <w:sz w:val="26"/>
          <w:szCs w:val="26"/>
        </w:rPr>
        <w:t>)</w:t>
      </w:r>
      <w:r w:rsidR="00971EA1" w:rsidRPr="00051C2A">
        <w:rPr>
          <w:sz w:val="26"/>
          <w:szCs w:val="26"/>
        </w:rPr>
        <w:t>.</w:t>
      </w:r>
    </w:p>
    <w:p w:rsidR="006E375D" w:rsidRPr="006E375D" w:rsidRDefault="00D24EB8" w:rsidP="00BF2735">
      <w:pPr>
        <w:ind w:firstLine="567"/>
        <w:jc w:val="both"/>
        <w:rPr>
          <w:sz w:val="26"/>
          <w:szCs w:val="26"/>
        </w:rPr>
      </w:pPr>
      <w:r w:rsidRPr="006E375D">
        <w:rPr>
          <w:b/>
          <w:sz w:val="26"/>
          <w:szCs w:val="26"/>
        </w:rPr>
        <w:t xml:space="preserve">- організація благоустрою населених пунктів </w:t>
      </w:r>
      <w:r w:rsidRPr="006E375D">
        <w:rPr>
          <w:sz w:val="26"/>
          <w:szCs w:val="26"/>
        </w:rPr>
        <w:t xml:space="preserve">у сумі </w:t>
      </w:r>
      <w:r w:rsidR="00BF2735" w:rsidRPr="006E375D">
        <w:rPr>
          <w:sz w:val="26"/>
          <w:szCs w:val="26"/>
        </w:rPr>
        <w:t>32 718,5</w:t>
      </w:r>
      <w:r w:rsidRPr="006E375D">
        <w:rPr>
          <w:sz w:val="26"/>
          <w:szCs w:val="26"/>
        </w:rPr>
        <w:t xml:space="preserve"> тис. гривень по загальному фонду, </w:t>
      </w:r>
      <w:r w:rsidR="00BF2735" w:rsidRPr="006E375D">
        <w:rPr>
          <w:sz w:val="26"/>
          <w:szCs w:val="26"/>
        </w:rPr>
        <w:t>у тому числі</w:t>
      </w:r>
      <w:r w:rsidR="006E375D">
        <w:rPr>
          <w:sz w:val="26"/>
          <w:szCs w:val="26"/>
        </w:rPr>
        <w:t>:</w:t>
      </w:r>
    </w:p>
    <w:p w:rsidR="006E375D" w:rsidRPr="006E375D" w:rsidRDefault="00BF2735" w:rsidP="00BF2735">
      <w:pPr>
        <w:ind w:firstLine="567"/>
        <w:jc w:val="both"/>
        <w:rPr>
          <w:sz w:val="26"/>
          <w:szCs w:val="26"/>
        </w:rPr>
      </w:pPr>
      <w:r w:rsidRPr="006E375D">
        <w:rPr>
          <w:sz w:val="26"/>
          <w:szCs w:val="26"/>
        </w:rPr>
        <w:t>КП «Чисте місто» - 2</w:t>
      </w:r>
      <w:r w:rsidR="00A922D9" w:rsidRPr="006E375D">
        <w:rPr>
          <w:sz w:val="26"/>
          <w:szCs w:val="26"/>
        </w:rPr>
        <w:t>6</w:t>
      </w:r>
      <w:r w:rsidRPr="006E375D">
        <w:rPr>
          <w:sz w:val="26"/>
          <w:szCs w:val="26"/>
        </w:rPr>
        <w:t> </w:t>
      </w:r>
      <w:r w:rsidR="00A922D9" w:rsidRPr="006E375D">
        <w:rPr>
          <w:sz w:val="26"/>
          <w:szCs w:val="26"/>
        </w:rPr>
        <w:t>1</w:t>
      </w:r>
      <w:r w:rsidRPr="006E375D">
        <w:rPr>
          <w:sz w:val="26"/>
          <w:szCs w:val="26"/>
        </w:rPr>
        <w:t xml:space="preserve">40,0 тис. гривень; </w:t>
      </w:r>
    </w:p>
    <w:p w:rsidR="006E375D" w:rsidRPr="006E375D" w:rsidRDefault="00BF2735" w:rsidP="00BF2735">
      <w:pPr>
        <w:ind w:firstLine="567"/>
        <w:jc w:val="both"/>
        <w:rPr>
          <w:sz w:val="26"/>
          <w:szCs w:val="26"/>
        </w:rPr>
      </w:pPr>
      <w:r w:rsidRPr="006E375D">
        <w:rPr>
          <w:sz w:val="26"/>
          <w:szCs w:val="26"/>
        </w:rPr>
        <w:t xml:space="preserve">ДП «Екосервіс» - 5 125,0 тис. гривень; </w:t>
      </w:r>
      <w:r w:rsidR="00D24EB8" w:rsidRPr="006E375D">
        <w:rPr>
          <w:sz w:val="26"/>
          <w:szCs w:val="26"/>
        </w:rPr>
        <w:t xml:space="preserve"> </w:t>
      </w:r>
      <w:bookmarkStart w:id="1" w:name="_Hlk216710174"/>
    </w:p>
    <w:p w:rsidR="006E375D" w:rsidRPr="006E375D" w:rsidRDefault="00BF2735" w:rsidP="00BF2735">
      <w:pPr>
        <w:ind w:firstLine="567"/>
        <w:jc w:val="both"/>
        <w:rPr>
          <w:sz w:val="26"/>
          <w:szCs w:val="26"/>
        </w:rPr>
      </w:pPr>
      <w:r w:rsidRPr="006E375D">
        <w:rPr>
          <w:sz w:val="26"/>
          <w:szCs w:val="26"/>
        </w:rPr>
        <w:t>КП «</w:t>
      </w:r>
      <w:r w:rsidR="00134A2E" w:rsidRPr="006E375D">
        <w:rPr>
          <w:sz w:val="26"/>
          <w:szCs w:val="26"/>
        </w:rPr>
        <w:t>Тростянецька міська р</w:t>
      </w:r>
      <w:r w:rsidRPr="006E375D">
        <w:rPr>
          <w:sz w:val="26"/>
          <w:szCs w:val="26"/>
        </w:rPr>
        <w:t xml:space="preserve">итуальна служба» - 1 353,5 тис. гривень; </w:t>
      </w:r>
    </w:p>
    <w:p w:rsidR="00BF2735" w:rsidRPr="0011430E" w:rsidRDefault="00971EA1" w:rsidP="00BF2735">
      <w:pPr>
        <w:ind w:firstLine="567"/>
        <w:jc w:val="both"/>
        <w:rPr>
          <w:sz w:val="26"/>
          <w:szCs w:val="26"/>
        </w:rPr>
      </w:pPr>
      <w:r w:rsidRPr="006E375D">
        <w:rPr>
          <w:sz w:val="26"/>
          <w:szCs w:val="26"/>
        </w:rPr>
        <w:t>міська рада</w:t>
      </w:r>
      <w:r w:rsidR="006E375D">
        <w:rPr>
          <w:sz w:val="26"/>
          <w:szCs w:val="26"/>
        </w:rPr>
        <w:t xml:space="preserve"> (</w:t>
      </w:r>
      <w:r w:rsidR="00A922D9" w:rsidRPr="006E375D">
        <w:rPr>
          <w:sz w:val="26"/>
          <w:szCs w:val="26"/>
        </w:rPr>
        <w:t>транспортні послуги</w:t>
      </w:r>
      <w:r w:rsidR="006E375D">
        <w:rPr>
          <w:sz w:val="26"/>
          <w:szCs w:val="26"/>
        </w:rPr>
        <w:t>)</w:t>
      </w:r>
      <w:r w:rsidR="00A922D9" w:rsidRPr="006E375D">
        <w:rPr>
          <w:sz w:val="26"/>
          <w:szCs w:val="26"/>
        </w:rPr>
        <w:t xml:space="preserve"> – 100,0 тис. гривень.</w:t>
      </w:r>
    </w:p>
    <w:p w:rsidR="006E375D" w:rsidRDefault="00D24EB8" w:rsidP="00D24EB8">
      <w:pPr>
        <w:ind w:firstLine="567"/>
        <w:jc w:val="both"/>
        <w:rPr>
          <w:sz w:val="26"/>
          <w:szCs w:val="26"/>
        </w:rPr>
      </w:pPr>
      <w:r w:rsidRPr="0011430E">
        <w:rPr>
          <w:sz w:val="26"/>
          <w:szCs w:val="26"/>
        </w:rPr>
        <w:t xml:space="preserve">- </w:t>
      </w:r>
      <w:r w:rsidRPr="0011430E">
        <w:rPr>
          <w:b/>
          <w:sz w:val="26"/>
          <w:szCs w:val="26"/>
        </w:rPr>
        <w:t>інша діяльність у сфері житлово-комунального господарства</w:t>
      </w:r>
      <w:r w:rsidR="008B30C2" w:rsidRPr="0011430E">
        <w:rPr>
          <w:sz w:val="26"/>
          <w:szCs w:val="26"/>
        </w:rPr>
        <w:t xml:space="preserve"> у сумі </w:t>
      </w:r>
    </w:p>
    <w:p w:rsidR="00D24EB8" w:rsidRDefault="008A41DC" w:rsidP="006E375D">
      <w:pPr>
        <w:jc w:val="both"/>
        <w:rPr>
          <w:sz w:val="26"/>
          <w:szCs w:val="26"/>
        </w:rPr>
      </w:pPr>
      <w:r w:rsidRPr="0011430E">
        <w:rPr>
          <w:sz w:val="26"/>
          <w:szCs w:val="26"/>
        </w:rPr>
        <w:t>545,0</w:t>
      </w:r>
      <w:r w:rsidR="008B30C2" w:rsidRPr="0011430E">
        <w:rPr>
          <w:sz w:val="26"/>
          <w:szCs w:val="26"/>
        </w:rPr>
        <w:t xml:space="preserve"> тис. гривень</w:t>
      </w:r>
      <w:r w:rsidR="00971EA1">
        <w:rPr>
          <w:sz w:val="26"/>
          <w:szCs w:val="26"/>
        </w:rPr>
        <w:t>.</w:t>
      </w:r>
    </w:p>
    <w:p w:rsidR="00FE2074" w:rsidRDefault="00FE2074" w:rsidP="00FD240F">
      <w:pPr>
        <w:jc w:val="both"/>
        <w:rPr>
          <w:sz w:val="26"/>
          <w:szCs w:val="26"/>
        </w:rPr>
      </w:pPr>
    </w:p>
    <w:p w:rsidR="00971EA1" w:rsidRDefault="009A7791" w:rsidP="009A7791">
      <w:pPr>
        <w:ind w:firstLine="567"/>
        <w:jc w:val="center"/>
        <w:rPr>
          <w:b/>
          <w:bCs/>
          <w:sz w:val="26"/>
          <w:szCs w:val="26"/>
        </w:rPr>
      </w:pPr>
      <w:r w:rsidRPr="009A7791">
        <w:rPr>
          <w:b/>
          <w:bCs/>
          <w:sz w:val="26"/>
          <w:szCs w:val="26"/>
        </w:rPr>
        <w:t>Економічна діяльність</w:t>
      </w:r>
    </w:p>
    <w:p w:rsidR="009A7791" w:rsidRPr="00924443" w:rsidRDefault="00924443" w:rsidP="00924443">
      <w:pPr>
        <w:ind w:firstLine="567"/>
        <w:jc w:val="both"/>
        <w:rPr>
          <w:sz w:val="26"/>
          <w:szCs w:val="26"/>
        </w:rPr>
      </w:pPr>
      <w:r w:rsidRPr="0011430E">
        <w:rPr>
          <w:sz w:val="26"/>
          <w:szCs w:val="26"/>
        </w:rPr>
        <w:t>У бюджеті</w:t>
      </w:r>
      <w:r w:rsidRPr="0011430E">
        <w:rPr>
          <w:b/>
          <w:sz w:val="26"/>
          <w:szCs w:val="26"/>
        </w:rPr>
        <w:t xml:space="preserve"> </w:t>
      </w:r>
      <w:r w:rsidRPr="0011430E">
        <w:rPr>
          <w:bCs/>
          <w:sz w:val="26"/>
          <w:szCs w:val="26"/>
        </w:rPr>
        <w:t>Тростянецької міської територіальної громади на</w:t>
      </w:r>
      <w:r w:rsidRPr="0011430E">
        <w:rPr>
          <w:sz w:val="26"/>
          <w:szCs w:val="26"/>
        </w:rPr>
        <w:t xml:space="preserve"> 2026 рік видатки на </w:t>
      </w:r>
      <w:r>
        <w:rPr>
          <w:sz w:val="26"/>
          <w:szCs w:val="26"/>
        </w:rPr>
        <w:t>економічну діяльність</w:t>
      </w:r>
      <w:r w:rsidRPr="0011430E">
        <w:rPr>
          <w:sz w:val="26"/>
          <w:szCs w:val="26"/>
        </w:rPr>
        <w:t xml:space="preserve"> передбачені у сумі </w:t>
      </w:r>
      <w:r>
        <w:rPr>
          <w:sz w:val="26"/>
          <w:szCs w:val="26"/>
        </w:rPr>
        <w:t>17 533,7</w:t>
      </w:r>
      <w:r w:rsidRPr="0011430E">
        <w:rPr>
          <w:sz w:val="26"/>
          <w:szCs w:val="26"/>
        </w:rPr>
        <w:t xml:space="preserve"> тис. гривень, </w:t>
      </w:r>
      <w:r>
        <w:rPr>
          <w:sz w:val="26"/>
          <w:szCs w:val="26"/>
        </w:rPr>
        <w:t>у</w:t>
      </w:r>
      <w:r w:rsidRPr="0011430E">
        <w:rPr>
          <w:sz w:val="26"/>
          <w:szCs w:val="26"/>
        </w:rPr>
        <w:t xml:space="preserve"> тому числі:</w:t>
      </w:r>
    </w:p>
    <w:bookmarkEnd w:id="1"/>
    <w:p w:rsidR="00D24EB8" w:rsidRPr="00BF1F99" w:rsidRDefault="00924443" w:rsidP="00F104D2">
      <w:pPr>
        <w:tabs>
          <w:tab w:val="left" w:pos="851"/>
        </w:tabs>
        <w:ind w:firstLine="567"/>
        <w:jc w:val="both"/>
        <w:rPr>
          <w:b/>
          <w:sz w:val="26"/>
          <w:szCs w:val="26"/>
        </w:rPr>
      </w:pPr>
      <w:r w:rsidRPr="00BF1F99">
        <w:rPr>
          <w:b/>
          <w:sz w:val="26"/>
          <w:szCs w:val="26"/>
        </w:rPr>
        <w:t>- з</w:t>
      </w:r>
      <w:r w:rsidR="00D24EB8" w:rsidRPr="00BF1F99">
        <w:rPr>
          <w:b/>
          <w:sz w:val="26"/>
          <w:szCs w:val="26"/>
        </w:rPr>
        <w:t>дійснення заходів із</w:t>
      </w:r>
      <w:r w:rsidR="00D24EB8" w:rsidRPr="00BF1F99">
        <w:rPr>
          <w:sz w:val="26"/>
          <w:szCs w:val="26"/>
        </w:rPr>
        <w:t xml:space="preserve"> </w:t>
      </w:r>
      <w:r w:rsidR="00D24EB8" w:rsidRPr="00BF1F99">
        <w:rPr>
          <w:b/>
          <w:sz w:val="26"/>
          <w:szCs w:val="26"/>
        </w:rPr>
        <w:t>землеустрою</w:t>
      </w:r>
      <w:r w:rsidR="00D24EB8" w:rsidRPr="00BF1F99">
        <w:rPr>
          <w:sz w:val="26"/>
          <w:szCs w:val="26"/>
        </w:rPr>
        <w:t xml:space="preserve"> у сумі </w:t>
      </w:r>
      <w:r w:rsidR="008A41DC" w:rsidRPr="00BF1F99">
        <w:rPr>
          <w:sz w:val="26"/>
          <w:szCs w:val="26"/>
        </w:rPr>
        <w:t>930,0</w:t>
      </w:r>
      <w:r w:rsidR="00D24EB8" w:rsidRPr="00BF1F99">
        <w:rPr>
          <w:sz w:val="26"/>
          <w:szCs w:val="26"/>
        </w:rPr>
        <w:t xml:space="preserve"> тис. гривень</w:t>
      </w:r>
      <w:r w:rsidR="0025068C" w:rsidRPr="00BF1F99">
        <w:rPr>
          <w:sz w:val="26"/>
          <w:szCs w:val="26"/>
        </w:rPr>
        <w:t>.</w:t>
      </w:r>
      <w:r w:rsidR="004609DC" w:rsidRPr="00BF1F99">
        <w:rPr>
          <w:sz w:val="26"/>
          <w:szCs w:val="26"/>
        </w:rPr>
        <w:t xml:space="preserve"> </w:t>
      </w:r>
    </w:p>
    <w:p w:rsidR="00D24EB8" w:rsidRPr="00BF1F99" w:rsidRDefault="00B3771F" w:rsidP="00F104D2">
      <w:pPr>
        <w:tabs>
          <w:tab w:val="left" w:pos="851"/>
        </w:tabs>
        <w:ind w:firstLine="567"/>
        <w:jc w:val="both"/>
        <w:rPr>
          <w:b/>
          <w:sz w:val="26"/>
          <w:szCs w:val="26"/>
        </w:rPr>
      </w:pPr>
      <w:r w:rsidRPr="00BF1F99">
        <w:rPr>
          <w:b/>
          <w:sz w:val="26"/>
          <w:szCs w:val="26"/>
        </w:rPr>
        <w:t>-</w:t>
      </w:r>
      <w:r w:rsidR="0038564A">
        <w:rPr>
          <w:b/>
          <w:sz w:val="26"/>
          <w:szCs w:val="26"/>
        </w:rPr>
        <w:t xml:space="preserve"> </w:t>
      </w:r>
      <w:r w:rsidRPr="00BF1F99">
        <w:rPr>
          <w:b/>
          <w:sz w:val="26"/>
          <w:szCs w:val="26"/>
        </w:rPr>
        <w:t>р</w:t>
      </w:r>
      <w:r w:rsidR="0025068C" w:rsidRPr="00BF1F99">
        <w:rPr>
          <w:b/>
          <w:sz w:val="26"/>
          <w:szCs w:val="26"/>
        </w:rPr>
        <w:t xml:space="preserve">еалізація інших заходів щодо соціально-економічного розвитку територій </w:t>
      </w:r>
      <w:r w:rsidR="0025068C" w:rsidRPr="00BF1F99">
        <w:rPr>
          <w:bCs/>
          <w:sz w:val="26"/>
          <w:szCs w:val="26"/>
        </w:rPr>
        <w:t>у сумі 406,4 тис. гривень.</w:t>
      </w:r>
    </w:p>
    <w:p w:rsidR="00BF1F99" w:rsidRPr="00BF1F99" w:rsidRDefault="00B3771F" w:rsidP="00F104D2">
      <w:pPr>
        <w:tabs>
          <w:tab w:val="left" w:pos="851"/>
        </w:tabs>
        <w:ind w:firstLine="567"/>
        <w:jc w:val="both"/>
        <w:rPr>
          <w:bCs/>
          <w:sz w:val="26"/>
          <w:szCs w:val="26"/>
        </w:rPr>
      </w:pPr>
      <w:r w:rsidRPr="00BF1F99">
        <w:rPr>
          <w:b/>
          <w:sz w:val="26"/>
          <w:szCs w:val="26"/>
        </w:rPr>
        <w:t>- у</w:t>
      </w:r>
      <w:r w:rsidR="00D24EB8" w:rsidRPr="00BF1F99">
        <w:rPr>
          <w:b/>
          <w:sz w:val="26"/>
          <w:szCs w:val="26"/>
        </w:rPr>
        <w:t xml:space="preserve">тримання та розвиток автомобільних доріг та дорожньої інфраструктури за рахунок коштів місцевого бюджету </w:t>
      </w:r>
      <w:r w:rsidR="00D24EB8" w:rsidRPr="00BF1F99">
        <w:rPr>
          <w:bCs/>
          <w:sz w:val="26"/>
          <w:szCs w:val="26"/>
        </w:rPr>
        <w:t xml:space="preserve">по загальному фонду в сумі </w:t>
      </w:r>
      <w:r w:rsidR="0025068C" w:rsidRPr="00BF1F99">
        <w:rPr>
          <w:bCs/>
          <w:sz w:val="26"/>
          <w:szCs w:val="26"/>
        </w:rPr>
        <w:t>10 185,7</w:t>
      </w:r>
      <w:r w:rsidR="00D24EB8" w:rsidRPr="00BF1F99">
        <w:rPr>
          <w:bCs/>
          <w:sz w:val="26"/>
          <w:szCs w:val="26"/>
        </w:rPr>
        <w:t xml:space="preserve"> тис. гривень.</w:t>
      </w:r>
      <w:r w:rsidRPr="00BF1F99">
        <w:rPr>
          <w:bCs/>
          <w:sz w:val="26"/>
          <w:szCs w:val="26"/>
        </w:rPr>
        <w:t xml:space="preserve"> Дані кошти будуть направлені на поточний (середній) ремонт доріг: </w:t>
      </w:r>
    </w:p>
    <w:p w:rsidR="00F104D2" w:rsidRDefault="00B3771F" w:rsidP="00F104D2">
      <w:pPr>
        <w:ind w:firstLine="567"/>
        <w:jc w:val="both"/>
        <w:rPr>
          <w:bCs/>
          <w:sz w:val="26"/>
          <w:szCs w:val="26"/>
        </w:rPr>
      </w:pPr>
      <w:r w:rsidRPr="00BF1F99">
        <w:rPr>
          <w:bCs/>
          <w:sz w:val="26"/>
          <w:szCs w:val="26"/>
        </w:rPr>
        <w:t>село Кам’янка у сумі 500,0 тис. гривень</w:t>
      </w:r>
      <w:r w:rsidR="00443BF1">
        <w:rPr>
          <w:bCs/>
          <w:sz w:val="26"/>
          <w:szCs w:val="26"/>
        </w:rPr>
        <w:t>;</w:t>
      </w:r>
    </w:p>
    <w:p w:rsidR="00BF1F99" w:rsidRPr="00BF1F99" w:rsidRDefault="00B3771F" w:rsidP="00F104D2">
      <w:pPr>
        <w:ind w:firstLine="567"/>
        <w:jc w:val="both"/>
        <w:rPr>
          <w:bCs/>
          <w:sz w:val="26"/>
          <w:szCs w:val="26"/>
        </w:rPr>
      </w:pPr>
      <w:r w:rsidRPr="00BF1F99">
        <w:rPr>
          <w:bCs/>
          <w:sz w:val="26"/>
          <w:szCs w:val="26"/>
        </w:rPr>
        <w:t xml:space="preserve">під’їзна дорога до села Олексино </w:t>
      </w:r>
      <w:r w:rsidR="0038564A">
        <w:rPr>
          <w:bCs/>
          <w:sz w:val="26"/>
          <w:szCs w:val="26"/>
        </w:rPr>
        <w:t xml:space="preserve">у сумі </w:t>
      </w:r>
      <w:r w:rsidRPr="00BF1F99">
        <w:rPr>
          <w:bCs/>
          <w:sz w:val="26"/>
          <w:szCs w:val="26"/>
        </w:rPr>
        <w:t>600,0 тис. гривень</w:t>
      </w:r>
      <w:r w:rsidR="00443BF1">
        <w:rPr>
          <w:bCs/>
          <w:sz w:val="26"/>
          <w:szCs w:val="26"/>
        </w:rPr>
        <w:t>;</w:t>
      </w:r>
    </w:p>
    <w:p w:rsidR="00BF1F99" w:rsidRPr="00BF1F99" w:rsidRDefault="00B3771F" w:rsidP="0025068C">
      <w:pPr>
        <w:ind w:firstLine="567"/>
        <w:jc w:val="both"/>
        <w:rPr>
          <w:bCs/>
          <w:sz w:val="26"/>
          <w:szCs w:val="26"/>
        </w:rPr>
      </w:pPr>
      <w:r w:rsidRPr="00BF1F99">
        <w:rPr>
          <w:bCs/>
          <w:sz w:val="26"/>
          <w:szCs w:val="26"/>
        </w:rPr>
        <w:t>вулиця Івана Мартиновського у сумі 2 000,0 тис. гривень</w:t>
      </w:r>
      <w:r w:rsidR="00443BF1">
        <w:rPr>
          <w:bCs/>
          <w:sz w:val="26"/>
          <w:szCs w:val="26"/>
        </w:rPr>
        <w:t>;</w:t>
      </w:r>
    </w:p>
    <w:p w:rsidR="00BF1F99" w:rsidRPr="00BF1F99" w:rsidRDefault="00B3771F" w:rsidP="0025068C">
      <w:pPr>
        <w:ind w:firstLine="567"/>
        <w:jc w:val="both"/>
        <w:rPr>
          <w:bCs/>
          <w:sz w:val="26"/>
          <w:szCs w:val="26"/>
        </w:rPr>
      </w:pPr>
      <w:r w:rsidRPr="00BF1F99">
        <w:rPr>
          <w:bCs/>
          <w:sz w:val="26"/>
          <w:szCs w:val="26"/>
        </w:rPr>
        <w:t>вулиця 93 Бригади у сумі 500,0 тис. гривень;</w:t>
      </w:r>
    </w:p>
    <w:p w:rsidR="00BF1F99" w:rsidRPr="00BF1F99" w:rsidRDefault="00B3771F" w:rsidP="0025068C">
      <w:pPr>
        <w:ind w:firstLine="567"/>
        <w:jc w:val="both"/>
        <w:rPr>
          <w:bCs/>
          <w:sz w:val="26"/>
          <w:szCs w:val="26"/>
        </w:rPr>
      </w:pPr>
      <w:r w:rsidRPr="00BF1F99">
        <w:rPr>
          <w:bCs/>
          <w:sz w:val="26"/>
          <w:szCs w:val="26"/>
        </w:rPr>
        <w:t>вулиця Сосновий Бір у сумі 1 558,7 тис. гривень</w:t>
      </w:r>
      <w:r w:rsidR="00443BF1">
        <w:rPr>
          <w:bCs/>
          <w:sz w:val="26"/>
          <w:szCs w:val="26"/>
        </w:rPr>
        <w:t>;</w:t>
      </w:r>
      <w:r w:rsidRPr="00BF1F99">
        <w:rPr>
          <w:bCs/>
          <w:sz w:val="26"/>
          <w:szCs w:val="26"/>
        </w:rPr>
        <w:t xml:space="preserve"> </w:t>
      </w:r>
    </w:p>
    <w:p w:rsidR="00BF1F99" w:rsidRPr="00BF1F99" w:rsidRDefault="00B3771F" w:rsidP="0025068C">
      <w:pPr>
        <w:ind w:firstLine="567"/>
        <w:jc w:val="both"/>
        <w:rPr>
          <w:bCs/>
          <w:sz w:val="26"/>
          <w:szCs w:val="26"/>
        </w:rPr>
      </w:pPr>
      <w:r w:rsidRPr="00BF1F99">
        <w:rPr>
          <w:bCs/>
          <w:sz w:val="26"/>
          <w:szCs w:val="26"/>
        </w:rPr>
        <w:t>заїзд на кладовище по вулиці Пам’яті у сумі 900,0 тис. гривень</w:t>
      </w:r>
      <w:r w:rsidR="00443BF1">
        <w:rPr>
          <w:bCs/>
          <w:sz w:val="26"/>
          <w:szCs w:val="26"/>
        </w:rPr>
        <w:t>;</w:t>
      </w:r>
    </w:p>
    <w:p w:rsidR="00F104D2" w:rsidRDefault="00B3771F" w:rsidP="00FD240F">
      <w:pPr>
        <w:ind w:firstLine="567"/>
        <w:jc w:val="both"/>
        <w:rPr>
          <w:bCs/>
          <w:sz w:val="26"/>
          <w:szCs w:val="26"/>
        </w:rPr>
      </w:pPr>
      <w:r w:rsidRPr="00BF1F99">
        <w:rPr>
          <w:bCs/>
          <w:sz w:val="26"/>
          <w:szCs w:val="26"/>
        </w:rPr>
        <w:t xml:space="preserve">вулиця Зарічна у сумі 1 654,0 тис. гривень. </w:t>
      </w:r>
    </w:p>
    <w:p w:rsidR="00D24EB8" w:rsidRPr="00BF1F99" w:rsidRDefault="00B3771F" w:rsidP="0025068C">
      <w:pPr>
        <w:ind w:firstLine="567"/>
        <w:jc w:val="both"/>
        <w:rPr>
          <w:bCs/>
          <w:sz w:val="26"/>
          <w:szCs w:val="26"/>
        </w:rPr>
      </w:pPr>
      <w:r w:rsidRPr="00BF1F99">
        <w:rPr>
          <w:bCs/>
          <w:sz w:val="26"/>
          <w:szCs w:val="26"/>
        </w:rPr>
        <w:t xml:space="preserve">Кошти в сумі 2 472,9 тис. </w:t>
      </w:r>
      <w:r w:rsidR="005E435C">
        <w:rPr>
          <w:bCs/>
          <w:sz w:val="26"/>
          <w:szCs w:val="26"/>
        </w:rPr>
        <w:t xml:space="preserve">гривень направлено на ямковий, </w:t>
      </w:r>
      <w:r w:rsidRPr="00BF1F99">
        <w:rPr>
          <w:bCs/>
          <w:sz w:val="26"/>
          <w:szCs w:val="26"/>
        </w:rPr>
        <w:t>внутрішній будинковий ремонт</w:t>
      </w:r>
      <w:r w:rsidR="005E435C">
        <w:rPr>
          <w:bCs/>
          <w:sz w:val="26"/>
          <w:szCs w:val="26"/>
        </w:rPr>
        <w:t>, розмітку вулиць та ін.</w:t>
      </w:r>
    </w:p>
    <w:p w:rsidR="0025068C" w:rsidRPr="00804297" w:rsidRDefault="00B3771F" w:rsidP="0025068C">
      <w:pPr>
        <w:ind w:firstLine="567"/>
        <w:jc w:val="both"/>
        <w:rPr>
          <w:bCs/>
          <w:sz w:val="26"/>
          <w:szCs w:val="26"/>
        </w:rPr>
      </w:pPr>
      <w:r w:rsidRPr="00804297">
        <w:rPr>
          <w:b/>
          <w:sz w:val="26"/>
          <w:szCs w:val="26"/>
        </w:rPr>
        <w:t>- п</w:t>
      </w:r>
      <w:r w:rsidR="0025068C" w:rsidRPr="00804297">
        <w:rPr>
          <w:b/>
          <w:sz w:val="26"/>
          <w:szCs w:val="26"/>
        </w:rPr>
        <w:t xml:space="preserve">роведення експертної грошової оцінки земельної ділянки чи права на неї </w:t>
      </w:r>
      <w:r w:rsidR="0025068C" w:rsidRPr="00804297">
        <w:rPr>
          <w:bCs/>
          <w:sz w:val="26"/>
          <w:szCs w:val="26"/>
        </w:rPr>
        <w:t>у сумі 50,0 тис. гривень</w:t>
      </w:r>
      <w:r w:rsidRPr="00804297">
        <w:rPr>
          <w:bCs/>
          <w:sz w:val="26"/>
          <w:szCs w:val="26"/>
        </w:rPr>
        <w:t>;</w:t>
      </w:r>
    </w:p>
    <w:p w:rsidR="0025068C" w:rsidRPr="00BF4CAB" w:rsidRDefault="0025068C" w:rsidP="00BF4CAB">
      <w:pPr>
        <w:ind w:firstLine="567"/>
        <w:jc w:val="both"/>
        <w:rPr>
          <w:sz w:val="26"/>
          <w:szCs w:val="26"/>
        </w:rPr>
      </w:pPr>
      <w:r w:rsidRPr="00804297">
        <w:rPr>
          <w:sz w:val="26"/>
          <w:szCs w:val="26"/>
        </w:rPr>
        <w:t xml:space="preserve">- </w:t>
      </w:r>
      <w:r w:rsidRPr="00804297">
        <w:rPr>
          <w:b/>
          <w:sz w:val="26"/>
          <w:szCs w:val="26"/>
        </w:rPr>
        <w:t>внески до статутного капіталу суб’єктів господарюван</w:t>
      </w:r>
      <w:r w:rsidRPr="00804297">
        <w:rPr>
          <w:sz w:val="26"/>
          <w:szCs w:val="26"/>
        </w:rPr>
        <w:t xml:space="preserve">ня у сумі </w:t>
      </w:r>
      <w:r w:rsidR="00BF4CAB">
        <w:rPr>
          <w:sz w:val="26"/>
          <w:szCs w:val="26"/>
        </w:rPr>
        <w:t xml:space="preserve">5 </w:t>
      </w:r>
      <w:r w:rsidRPr="00804297">
        <w:rPr>
          <w:sz w:val="26"/>
          <w:szCs w:val="26"/>
        </w:rPr>
        <w:t xml:space="preserve">627,0 </w:t>
      </w:r>
      <w:r w:rsidR="00BF4CAB">
        <w:rPr>
          <w:sz w:val="26"/>
          <w:szCs w:val="26"/>
        </w:rPr>
        <w:t xml:space="preserve"> </w:t>
      </w:r>
      <w:r w:rsidRPr="00804297">
        <w:rPr>
          <w:sz w:val="26"/>
          <w:szCs w:val="26"/>
        </w:rPr>
        <w:t>тис. гривень</w:t>
      </w:r>
      <w:r w:rsidR="00BF4CAB">
        <w:rPr>
          <w:sz w:val="26"/>
          <w:szCs w:val="26"/>
        </w:rPr>
        <w:t xml:space="preserve"> </w:t>
      </w:r>
      <w:r w:rsidR="00BF4CAB" w:rsidRPr="00BF4CAB">
        <w:rPr>
          <w:sz w:val="26"/>
          <w:szCs w:val="26"/>
        </w:rPr>
        <w:t>(</w:t>
      </w:r>
      <w:r w:rsidRPr="00BF4CAB">
        <w:rPr>
          <w:iCs/>
          <w:sz w:val="26"/>
          <w:szCs w:val="26"/>
        </w:rPr>
        <w:t>КП «Агенція місцевого розвитку»</w:t>
      </w:r>
      <w:r w:rsidR="00BF4CAB" w:rsidRPr="00BF4CAB">
        <w:rPr>
          <w:iCs/>
          <w:sz w:val="26"/>
          <w:szCs w:val="26"/>
        </w:rPr>
        <w:t>,</w:t>
      </w:r>
      <w:r w:rsidRPr="00BF4CAB">
        <w:rPr>
          <w:iCs/>
          <w:sz w:val="26"/>
          <w:szCs w:val="26"/>
        </w:rPr>
        <w:t xml:space="preserve"> КП «Центр комунальних послуг»</w:t>
      </w:r>
      <w:r w:rsidR="00BF4CAB" w:rsidRPr="00BF4CAB">
        <w:rPr>
          <w:iCs/>
          <w:sz w:val="26"/>
          <w:szCs w:val="26"/>
        </w:rPr>
        <w:t>,</w:t>
      </w:r>
      <w:r w:rsidRPr="00BF4CAB">
        <w:rPr>
          <w:iCs/>
          <w:sz w:val="26"/>
          <w:szCs w:val="26"/>
        </w:rPr>
        <w:t xml:space="preserve"> </w:t>
      </w:r>
      <w:r w:rsidR="00BF4CAB" w:rsidRPr="00BF4CAB">
        <w:rPr>
          <w:iCs/>
          <w:sz w:val="26"/>
          <w:szCs w:val="26"/>
        </w:rPr>
        <w:t>КП «Чисте місто»,</w:t>
      </w:r>
      <w:r w:rsidR="00BF4CAB" w:rsidRPr="00BF4CAB">
        <w:rPr>
          <w:sz w:val="26"/>
          <w:szCs w:val="26"/>
        </w:rPr>
        <w:t xml:space="preserve"> </w:t>
      </w:r>
      <w:r w:rsidR="00BF4CAB" w:rsidRPr="00BF4CAB">
        <w:rPr>
          <w:iCs/>
          <w:sz w:val="26"/>
          <w:szCs w:val="26"/>
        </w:rPr>
        <w:t>КП «Тростянецькомунсервіс»,</w:t>
      </w:r>
      <w:r w:rsidR="00BF4CAB" w:rsidRPr="00BF4CAB">
        <w:rPr>
          <w:sz w:val="26"/>
          <w:szCs w:val="26"/>
        </w:rPr>
        <w:t xml:space="preserve"> </w:t>
      </w:r>
      <w:r w:rsidR="00BF4CAB" w:rsidRPr="00BF4CAB">
        <w:rPr>
          <w:iCs/>
          <w:sz w:val="26"/>
          <w:szCs w:val="26"/>
        </w:rPr>
        <w:t>КП «ЖЕУ»,</w:t>
      </w:r>
      <w:r w:rsidR="00BF4CAB" w:rsidRPr="00BF4CAB">
        <w:rPr>
          <w:sz w:val="26"/>
          <w:szCs w:val="26"/>
        </w:rPr>
        <w:t xml:space="preserve"> </w:t>
      </w:r>
      <w:r w:rsidR="00F104D2" w:rsidRPr="00BF4CAB">
        <w:rPr>
          <w:iCs/>
          <w:sz w:val="26"/>
          <w:szCs w:val="26"/>
        </w:rPr>
        <w:t>Д</w:t>
      </w:r>
      <w:r w:rsidR="00BF4CAB" w:rsidRPr="00BF4CAB">
        <w:rPr>
          <w:iCs/>
          <w:sz w:val="26"/>
          <w:szCs w:val="26"/>
        </w:rPr>
        <w:t>П «Елегія»).</w:t>
      </w:r>
    </w:p>
    <w:p w:rsidR="0025068C" w:rsidRPr="00804297" w:rsidRDefault="0025068C" w:rsidP="0025068C">
      <w:pPr>
        <w:ind w:firstLine="567"/>
        <w:jc w:val="both"/>
        <w:rPr>
          <w:sz w:val="26"/>
          <w:szCs w:val="26"/>
        </w:rPr>
      </w:pPr>
      <w:r w:rsidRPr="00804297">
        <w:rPr>
          <w:sz w:val="26"/>
          <w:szCs w:val="26"/>
        </w:rPr>
        <w:lastRenderedPageBreak/>
        <w:t xml:space="preserve">- </w:t>
      </w:r>
      <w:r w:rsidRPr="00804297">
        <w:rPr>
          <w:b/>
          <w:sz w:val="26"/>
          <w:szCs w:val="26"/>
        </w:rPr>
        <w:t>членські внески до асоціацій органів місцевого самоврядування</w:t>
      </w:r>
      <w:r w:rsidRPr="00804297">
        <w:rPr>
          <w:sz w:val="26"/>
          <w:szCs w:val="26"/>
        </w:rPr>
        <w:t xml:space="preserve"> у сумі 134,6 тис. гривень;</w:t>
      </w:r>
    </w:p>
    <w:p w:rsidR="00D24EB8" w:rsidRDefault="0025068C" w:rsidP="00FD240F">
      <w:pPr>
        <w:ind w:firstLine="567"/>
        <w:jc w:val="both"/>
        <w:rPr>
          <w:sz w:val="26"/>
          <w:szCs w:val="26"/>
        </w:rPr>
      </w:pPr>
      <w:r w:rsidRPr="00804297">
        <w:rPr>
          <w:sz w:val="26"/>
          <w:szCs w:val="26"/>
        </w:rPr>
        <w:t xml:space="preserve">- </w:t>
      </w:r>
      <w:r w:rsidRPr="00804297">
        <w:rPr>
          <w:b/>
          <w:sz w:val="26"/>
          <w:szCs w:val="26"/>
        </w:rPr>
        <w:t>інші заходи пов’язані з економічною діяльністю</w:t>
      </w:r>
      <w:r w:rsidRPr="00804297">
        <w:rPr>
          <w:sz w:val="26"/>
          <w:szCs w:val="26"/>
        </w:rPr>
        <w:t xml:space="preserve"> у сумі 200,0 тис. гривень.</w:t>
      </w:r>
    </w:p>
    <w:p w:rsidR="00FE2074" w:rsidRPr="00804297" w:rsidRDefault="00FE2074" w:rsidP="00D24EB8">
      <w:pPr>
        <w:ind w:firstLine="426"/>
        <w:jc w:val="both"/>
        <w:rPr>
          <w:sz w:val="26"/>
          <w:szCs w:val="26"/>
        </w:rPr>
      </w:pPr>
    </w:p>
    <w:p w:rsidR="00D24EB8" w:rsidRPr="0011430E" w:rsidRDefault="00D24EB8" w:rsidP="00D24EB8">
      <w:pPr>
        <w:jc w:val="center"/>
        <w:rPr>
          <w:b/>
          <w:sz w:val="26"/>
          <w:szCs w:val="26"/>
        </w:rPr>
      </w:pPr>
      <w:r w:rsidRPr="0011430E">
        <w:rPr>
          <w:b/>
          <w:sz w:val="26"/>
          <w:szCs w:val="26"/>
        </w:rPr>
        <w:t xml:space="preserve">Захист населення і територій від надзвичайних ситуацій </w:t>
      </w:r>
    </w:p>
    <w:p w:rsidR="00D24EB8" w:rsidRPr="0011430E" w:rsidRDefault="00D24EB8" w:rsidP="00D24EB8">
      <w:pPr>
        <w:jc w:val="center"/>
        <w:rPr>
          <w:b/>
          <w:sz w:val="26"/>
          <w:szCs w:val="26"/>
        </w:rPr>
      </w:pPr>
      <w:r w:rsidRPr="0011430E">
        <w:rPr>
          <w:b/>
          <w:sz w:val="26"/>
          <w:szCs w:val="26"/>
        </w:rPr>
        <w:t>техногенного та природного характеру</w:t>
      </w:r>
    </w:p>
    <w:p w:rsidR="00D24EB8" w:rsidRPr="0011430E" w:rsidRDefault="00D24EB8" w:rsidP="00D24EB8">
      <w:pPr>
        <w:ind w:firstLine="567"/>
        <w:jc w:val="both"/>
        <w:rPr>
          <w:sz w:val="26"/>
          <w:szCs w:val="26"/>
        </w:rPr>
      </w:pPr>
      <w:r w:rsidRPr="0011430E">
        <w:rPr>
          <w:sz w:val="26"/>
          <w:szCs w:val="26"/>
        </w:rPr>
        <w:t>У бюджеті</w:t>
      </w:r>
      <w:r w:rsidRPr="0011430E">
        <w:rPr>
          <w:b/>
          <w:sz w:val="26"/>
          <w:szCs w:val="26"/>
        </w:rPr>
        <w:t xml:space="preserve"> </w:t>
      </w:r>
      <w:r w:rsidRPr="0011430E">
        <w:rPr>
          <w:bCs/>
          <w:sz w:val="26"/>
          <w:szCs w:val="26"/>
        </w:rPr>
        <w:t>Тростянецької міської територіальної громади на</w:t>
      </w:r>
      <w:r w:rsidRPr="0011430E">
        <w:rPr>
          <w:sz w:val="26"/>
          <w:szCs w:val="26"/>
        </w:rPr>
        <w:t xml:space="preserve"> 202</w:t>
      </w:r>
      <w:r w:rsidR="00F96218" w:rsidRPr="0011430E">
        <w:rPr>
          <w:sz w:val="26"/>
          <w:szCs w:val="26"/>
        </w:rPr>
        <w:t>6</w:t>
      </w:r>
      <w:r w:rsidRPr="0011430E">
        <w:rPr>
          <w:sz w:val="26"/>
          <w:szCs w:val="26"/>
        </w:rPr>
        <w:t xml:space="preserve"> рік видатки на захист населення і територій від надзвичайних ситуацій техногенного та природного характеру передбачено у сумі 1 003,</w:t>
      </w:r>
      <w:r w:rsidR="00F96218" w:rsidRPr="0011430E">
        <w:rPr>
          <w:sz w:val="26"/>
          <w:szCs w:val="26"/>
        </w:rPr>
        <w:t>1</w:t>
      </w:r>
      <w:r w:rsidRPr="0011430E">
        <w:rPr>
          <w:sz w:val="26"/>
          <w:szCs w:val="26"/>
        </w:rPr>
        <w:t xml:space="preserve"> тис. гривень:</w:t>
      </w:r>
    </w:p>
    <w:p w:rsidR="00D24EB8" w:rsidRPr="0011430E" w:rsidRDefault="00D24EB8" w:rsidP="00756CAA">
      <w:pPr>
        <w:pStyle w:val="a7"/>
        <w:numPr>
          <w:ilvl w:val="0"/>
          <w:numId w:val="2"/>
        </w:numPr>
        <w:ind w:left="0" w:firstLine="567"/>
        <w:jc w:val="both"/>
        <w:rPr>
          <w:sz w:val="26"/>
          <w:szCs w:val="26"/>
        </w:rPr>
      </w:pPr>
      <w:r w:rsidRPr="0011430E">
        <w:rPr>
          <w:b/>
          <w:bCs/>
          <w:sz w:val="26"/>
          <w:szCs w:val="26"/>
        </w:rPr>
        <w:t>заходи із запобігання та ліквідації надзвичайних ситуацій та наслідків стихійного лиха</w:t>
      </w:r>
      <w:r w:rsidRPr="0011430E">
        <w:rPr>
          <w:sz w:val="26"/>
          <w:szCs w:val="26"/>
        </w:rPr>
        <w:t xml:space="preserve"> у сумі 1</w:t>
      </w:r>
      <w:r w:rsidR="00F96218" w:rsidRPr="0011430E">
        <w:rPr>
          <w:sz w:val="26"/>
          <w:szCs w:val="26"/>
        </w:rPr>
        <w:t>15</w:t>
      </w:r>
      <w:r w:rsidRPr="0011430E">
        <w:rPr>
          <w:sz w:val="26"/>
          <w:szCs w:val="26"/>
        </w:rPr>
        <w:t>,0 тис. гривень;</w:t>
      </w:r>
    </w:p>
    <w:p w:rsidR="002F4BCB" w:rsidRPr="0011430E" w:rsidRDefault="00D24EB8" w:rsidP="00FD240F">
      <w:pPr>
        <w:ind w:firstLine="567"/>
        <w:jc w:val="both"/>
        <w:rPr>
          <w:b/>
          <w:sz w:val="26"/>
          <w:szCs w:val="26"/>
          <w:highlight w:val="yellow"/>
        </w:rPr>
      </w:pPr>
      <w:r w:rsidRPr="0011430E">
        <w:rPr>
          <w:b/>
          <w:bCs/>
          <w:sz w:val="26"/>
          <w:szCs w:val="26"/>
        </w:rPr>
        <w:t xml:space="preserve">- забезпечення діяльності </w:t>
      </w:r>
      <w:r w:rsidR="002F4BCB" w:rsidRPr="0011430E">
        <w:rPr>
          <w:b/>
          <w:bCs/>
          <w:sz w:val="26"/>
          <w:szCs w:val="26"/>
        </w:rPr>
        <w:t>КЗ «Добровільна пожежна команда»</w:t>
      </w:r>
      <w:r w:rsidRPr="0011430E">
        <w:rPr>
          <w:b/>
          <w:bCs/>
          <w:sz w:val="26"/>
          <w:szCs w:val="26"/>
        </w:rPr>
        <w:t xml:space="preserve"> </w:t>
      </w:r>
      <w:r w:rsidRPr="00625BC3">
        <w:rPr>
          <w:sz w:val="26"/>
          <w:szCs w:val="26"/>
        </w:rPr>
        <w:t xml:space="preserve">у сумі </w:t>
      </w:r>
      <w:r w:rsidR="00F96218" w:rsidRPr="00625BC3">
        <w:rPr>
          <w:sz w:val="26"/>
          <w:szCs w:val="26"/>
        </w:rPr>
        <w:t>888,1</w:t>
      </w:r>
      <w:r w:rsidRPr="00625BC3">
        <w:rPr>
          <w:sz w:val="26"/>
          <w:szCs w:val="26"/>
        </w:rPr>
        <w:t xml:space="preserve"> тис. гривень,</w:t>
      </w:r>
      <w:r w:rsidRPr="0011430E">
        <w:rPr>
          <w:sz w:val="26"/>
          <w:szCs w:val="26"/>
        </w:rPr>
        <w:t xml:space="preserve"> з них  оплата праці  та нарахування у сумі 6</w:t>
      </w:r>
      <w:r w:rsidR="00F96218" w:rsidRPr="0011430E">
        <w:rPr>
          <w:sz w:val="26"/>
          <w:szCs w:val="26"/>
        </w:rPr>
        <w:t>64,9</w:t>
      </w:r>
      <w:r w:rsidRPr="0011430E">
        <w:rPr>
          <w:sz w:val="26"/>
          <w:szCs w:val="26"/>
        </w:rPr>
        <w:t xml:space="preserve"> тис. гривень та комунальні послуги та енергоносії у сумі </w:t>
      </w:r>
      <w:r w:rsidR="00F96218" w:rsidRPr="0011430E">
        <w:rPr>
          <w:sz w:val="26"/>
          <w:szCs w:val="26"/>
        </w:rPr>
        <w:t>63,2</w:t>
      </w:r>
      <w:r w:rsidRPr="0011430E">
        <w:rPr>
          <w:sz w:val="26"/>
          <w:szCs w:val="26"/>
        </w:rPr>
        <w:t xml:space="preserve"> тис. гривень.</w:t>
      </w:r>
      <w:r w:rsidRPr="0011430E">
        <w:rPr>
          <w:sz w:val="26"/>
          <w:szCs w:val="26"/>
          <w:highlight w:val="yellow"/>
        </w:rPr>
        <w:t xml:space="preserve"> </w:t>
      </w:r>
    </w:p>
    <w:p w:rsidR="00FE2074" w:rsidRDefault="00FE2074" w:rsidP="00D24EB8">
      <w:pPr>
        <w:jc w:val="center"/>
        <w:rPr>
          <w:b/>
          <w:sz w:val="26"/>
          <w:szCs w:val="26"/>
        </w:rPr>
      </w:pPr>
    </w:p>
    <w:p w:rsidR="00D24EB8" w:rsidRDefault="00D24EB8" w:rsidP="00D24EB8">
      <w:pPr>
        <w:jc w:val="center"/>
        <w:rPr>
          <w:b/>
          <w:sz w:val="26"/>
          <w:szCs w:val="26"/>
        </w:rPr>
      </w:pPr>
      <w:r w:rsidRPr="0011430E">
        <w:rPr>
          <w:b/>
          <w:sz w:val="26"/>
          <w:szCs w:val="26"/>
        </w:rPr>
        <w:t>Громадський порядок та безпека</w:t>
      </w:r>
    </w:p>
    <w:p w:rsidR="00D24EB8" w:rsidRPr="000B1142" w:rsidRDefault="000B1142" w:rsidP="000B1142">
      <w:pPr>
        <w:ind w:firstLine="567"/>
        <w:jc w:val="both"/>
        <w:rPr>
          <w:sz w:val="26"/>
          <w:szCs w:val="26"/>
        </w:rPr>
      </w:pPr>
      <w:r w:rsidRPr="0011430E">
        <w:rPr>
          <w:sz w:val="26"/>
          <w:szCs w:val="26"/>
        </w:rPr>
        <w:t>У бюджеті</w:t>
      </w:r>
      <w:r w:rsidRPr="0011430E">
        <w:rPr>
          <w:b/>
          <w:sz w:val="26"/>
          <w:szCs w:val="26"/>
        </w:rPr>
        <w:t xml:space="preserve"> </w:t>
      </w:r>
      <w:r w:rsidRPr="0011430E">
        <w:rPr>
          <w:bCs/>
          <w:sz w:val="26"/>
          <w:szCs w:val="26"/>
        </w:rPr>
        <w:t>Тростянецької міської територіальної громади на</w:t>
      </w:r>
      <w:r w:rsidRPr="0011430E">
        <w:rPr>
          <w:sz w:val="26"/>
          <w:szCs w:val="26"/>
        </w:rPr>
        <w:t xml:space="preserve"> 2026 рік видатки на </w:t>
      </w:r>
      <w:r>
        <w:rPr>
          <w:sz w:val="26"/>
          <w:szCs w:val="26"/>
        </w:rPr>
        <w:t>громадський порядок і безпеку</w:t>
      </w:r>
      <w:r w:rsidRPr="0011430E">
        <w:rPr>
          <w:sz w:val="26"/>
          <w:szCs w:val="26"/>
        </w:rPr>
        <w:t xml:space="preserve"> передбачено у сумі </w:t>
      </w:r>
      <w:r>
        <w:rPr>
          <w:sz w:val="26"/>
          <w:szCs w:val="26"/>
        </w:rPr>
        <w:t xml:space="preserve">3 255,0 </w:t>
      </w:r>
      <w:r w:rsidRPr="0011430E">
        <w:rPr>
          <w:sz w:val="26"/>
          <w:szCs w:val="26"/>
        </w:rPr>
        <w:t xml:space="preserve"> тис. гривень:</w:t>
      </w:r>
    </w:p>
    <w:p w:rsidR="00D24EB8" w:rsidRPr="0011430E" w:rsidRDefault="000B1142" w:rsidP="00D24EB8">
      <w:pPr>
        <w:ind w:firstLine="567"/>
        <w:jc w:val="both"/>
        <w:rPr>
          <w:sz w:val="26"/>
          <w:szCs w:val="26"/>
        </w:rPr>
      </w:pPr>
      <w:r>
        <w:rPr>
          <w:b/>
          <w:bCs/>
          <w:sz w:val="26"/>
          <w:szCs w:val="26"/>
        </w:rPr>
        <w:t>- з</w:t>
      </w:r>
      <w:r w:rsidR="00D24EB8" w:rsidRPr="0011430E">
        <w:rPr>
          <w:b/>
          <w:bCs/>
          <w:sz w:val="26"/>
          <w:szCs w:val="26"/>
        </w:rPr>
        <w:t>аходи та роботи з мобілізаційної підготовки місцевого значення</w:t>
      </w:r>
      <w:r w:rsidR="00D24EB8" w:rsidRPr="0011430E">
        <w:rPr>
          <w:sz w:val="26"/>
          <w:szCs w:val="26"/>
        </w:rPr>
        <w:t xml:space="preserve"> у сумі </w:t>
      </w:r>
      <w:r w:rsidR="00AE404E">
        <w:rPr>
          <w:sz w:val="26"/>
          <w:szCs w:val="26"/>
        </w:rPr>
        <w:t xml:space="preserve">   </w:t>
      </w:r>
      <w:r w:rsidR="00F96218" w:rsidRPr="0011430E">
        <w:rPr>
          <w:sz w:val="26"/>
          <w:szCs w:val="26"/>
        </w:rPr>
        <w:t>10,0</w:t>
      </w:r>
      <w:r w:rsidR="00AE404E">
        <w:rPr>
          <w:sz w:val="26"/>
          <w:szCs w:val="26"/>
        </w:rPr>
        <w:t xml:space="preserve"> тис. гривень</w:t>
      </w:r>
      <w:r>
        <w:rPr>
          <w:sz w:val="26"/>
          <w:szCs w:val="26"/>
        </w:rPr>
        <w:t>;</w:t>
      </w:r>
    </w:p>
    <w:p w:rsidR="00D24EB8" w:rsidRPr="0011430E" w:rsidRDefault="000B1142" w:rsidP="00D24EB8">
      <w:pPr>
        <w:ind w:firstLine="567"/>
        <w:jc w:val="both"/>
        <w:rPr>
          <w:sz w:val="26"/>
          <w:szCs w:val="26"/>
        </w:rPr>
      </w:pPr>
      <w:r>
        <w:rPr>
          <w:b/>
          <w:bCs/>
          <w:sz w:val="26"/>
          <w:szCs w:val="26"/>
        </w:rPr>
        <w:t>- і</w:t>
      </w:r>
      <w:r w:rsidR="00D24EB8" w:rsidRPr="0011430E">
        <w:rPr>
          <w:b/>
          <w:bCs/>
          <w:sz w:val="26"/>
          <w:szCs w:val="26"/>
        </w:rPr>
        <w:t>нші заходи громадського порядку та безпеки</w:t>
      </w:r>
      <w:r w:rsidR="00D24EB8" w:rsidRPr="0011430E">
        <w:rPr>
          <w:sz w:val="26"/>
          <w:szCs w:val="26"/>
        </w:rPr>
        <w:t xml:space="preserve"> у сумі </w:t>
      </w:r>
      <w:r w:rsidR="00F96218" w:rsidRPr="0011430E">
        <w:rPr>
          <w:sz w:val="26"/>
          <w:szCs w:val="26"/>
        </w:rPr>
        <w:t>245,0</w:t>
      </w:r>
      <w:r w:rsidR="00AE404E">
        <w:rPr>
          <w:sz w:val="26"/>
          <w:szCs w:val="26"/>
        </w:rPr>
        <w:t xml:space="preserve"> тис. гривень</w:t>
      </w:r>
      <w:r>
        <w:rPr>
          <w:sz w:val="26"/>
          <w:szCs w:val="26"/>
        </w:rPr>
        <w:t>;</w:t>
      </w:r>
    </w:p>
    <w:p w:rsidR="00D24EB8" w:rsidRPr="0011430E" w:rsidRDefault="000B1142" w:rsidP="00D24EB8">
      <w:pPr>
        <w:ind w:firstLine="567"/>
        <w:jc w:val="both"/>
        <w:rPr>
          <w:bCs/>
          <w:sz w:val="26"/>
          <w:szCs w:val="26"/>
        </w:rPr>
      </w:pPr>
      <w:r>
        <w:rPr>
          <w:b/>
          <w:sz w:val="26"/>
          <w:szCs w:val="26"/>
        </w:rPr>
        <w:t>- з</w:t>
      </w:r>
      <w:r w:rsidR="00D24EB8" w:rsidRPr="0011430E">
        <w:rPr>
          <w:b/>
          <w:sz w:val="26"/>
          <w:szCs w:val="26"/>
        </w:rPr>
        <w:t>аходи та роботи з територіальної оборони</w:t>
      </w:r>
      <w:r w:rsidR="00D24EB8" w:rsidRPr="0011430E">
        <w:rPr>
          <w:bCs/>
          <w:sz w:val="26"/>
          <w:szCs w:val="26"/>
        </w:rPr>
        <w:t xml:space="preserve"> </w:t>
      </w:r>
      <w:r w:rsidR="00D24EB8" w:rsidRPr="0011430E">
        <w:rPr>
          <w:sz w:val="26"/>
          <w:szCs w:val="26"/>
        </w:rPr>
        <w:t>в сумі 3</w:t>
      </w:r>
      <w:r w:rsidR="00F96218" w:rsidRPr="0011430E">
        <w:rPr>
          <w:sz w:val="26"/>
          <w:szCs w:val="26"/>
        </w:rPr>
        <w:t> 000,0</w:t>
      </w:r>
      <w:r w:rsidR="00D24EB8" w:rsidRPr="0011430E">
        <w:rPr>
          <w:sz w:val="26"/>
          <w:szCs w:val="26"/>
        </w:rPr>
        <w:t xml:space="preserve"> тис гривень.</w:t>
      </w:r>
    </w:p>
    <w:p w:rsidR="00FE2074" w:rsidRDefault="00FE2074" w:rsidP="00FD240F">
      <w:pPr>
        <w:rPr>
          <w:b/>
          <w:sz w:val="26"/>
          <w:szCs w:val="26"/>
        </w:rPr>
      </w:pPr>
    </w:p>
    <w:p w:rsidR="00D24EB8" w:rsidRDefault="00D24EB8" w:rsidP="00D24EB8">
      <w:pPr>
        <w:jc w:val="center"/>
        <w:rPr>
          <w:b/>
          <w:sz w:val="26"/>
          <w:szCs w:val="26"/>
        </w:rPr>
      </w:pPr>
      <w:r w:rsidRPr="0011430E">
        <w:rPr>
          <w:b/>
          <w:sz w:val="26"/>
          <w:szCs w:val="26"/>
        </w:rPr>
        <w:t>Охорона навколишнього природного середовища</w:t>
      </w:r>
    </w:p>
    <w:p w:rsidR="00901909" w:rsidRPr="00F104D2" w:rsidRDefault="00901909" w:rsidP="00901909">
      <w:pPr>
        <w:ind w:firstLine="567"/>
        <w:jc w:val="both"/>
        <w:rPr>
          <w:sz w:val="25"/>
          <w:szCs w:val="25"/>
        </w:rPr>
      </w:pPr>
      <w:r w:rsidRPr="00F104D2">
        <w:rPr>
          <w:sz w:val="25"/>
          <w:szCs w:val="25"/>
        </w:rPr>
        <w:t>У бюджеті</w:t>
      </w:r>
      <w:r w:rsidRPr="00F104D2">
        <w:rPr>
          <w:b/>
          <w:sz w:val="25"/>
          <w:szCs w:val="25"/>
        </w:rPr>
        <w:t xml:space="preserve"> </w:t>
      </w:r>
      <w:r w:rsidRPr="00F104D2">
        <w:rPr>
          <w:bCs/>
          <w:sz w:val="25"/>
          <w:szCs w:val="25"/>
        </w:rPr>
        <w:t>Тростянецької міської територіальної громади на</w:t>
      </w:r>
      <w:r w:rsidRPr="00F104D2">
        <w:rPr>
          <w:sz w:val="25"/>
          <w:szCs w:val="25"/>
        </w:rPr>
        <w:t xml:space="preserve"> 2026 рік видатки на охорону навколишнього природного середовища передбачено у сумі 631,2 тис. гривень:</w:t>
      </w:r>
    </w:p>
    <w:p w:rsidR="00D24EB8" w:rsidRPr="00F104D2" w:rsidRDefault="00901909" w:rsidP="00D24EB8">
      <w:pPr>
        <w:ind w:firstLine="567"/>
        <w:jc w:val="both"/>
        <w:rPr>
          <w:sz w:val="25"/>
          <w:szCs w:val="25"/>
        </w:rPr>
      </w:pPr>
      <w:r w:rsidRPr="00F104D2">
        <w:rPr>
          <w:b/>
          <w:sz w:val="25"/>
          <w:szCs w:val="25"/>
        </w:rPr>
        <w:t>- о</w:t>
      </w:r>
      <w:r w:rsidR="00F96218" w:rsidRPr="00F104D2">
        <w:rPr>
          <w:b/>
          <w:sz w:val="25"/>
          <w:szCs w:val="25"/>
        </w:rPr>
        <w:t>хорона та раціональне викори</w:t>
      </w:r>
      <w:r w:rsidR="00AE404E" w:rsidRPr="00F104D2">
        <w:rPr>
          <w:b/>
          <w:sz w:val="25"/>
          <w:szCs w:val="25"/>
        </w:rPr>
        <w:t>стання природніх ресурсів</w:t>
      </w:r>
      <w:r w:rsidR="00AE404E" w:rsidRPr="00F104D2">
        <w:rPr>
          <w:sz w:val="25"/>
          <w:szCs w:val="25"/>
        </w:rPr>
        <w:t xml:space="preserve"> у сумі – 100,</w:t>
      </w:r>
      <w:r w:rsidR="00F96218" w:rsidRPr="00F104D2">
        <w:rPr>
          <w:sz w:val="25"/>
          <w:szCs w:val="25"/>
        </w:rPr>
        <w:t>0 тис. гривень</w:t>
      </w:r>
      <w:r w:rsidRPr="00F104D2">
        <w:rPr>
          <w:sz w:val="25"/>
          <w:szCs w:val="25"/>
        </w:rPr>
        <w:t>;</w:t>
      </w:r>
    </w:p>
    <w:p w:rsidR="008C01CF" w:rsidRPr="00A57765" w:rsidRDefault="00901909" w:rsidP="00A57765">
      <w:pPr>
        <w:ind w:firstLine="567"/>
        <w:jc w:val="both"/>
        <w:rPr>
          <w:sz w:val="25"/>
          <w:szCs w:val="25"/>
        </w:rPr>
      </w:pPr>
      <w:r w:rsidRPr="00F104D2">
        <w:rPr>
          <w:b/>
          <w:sz w:val="25"/>
          <w:szCs w:val="25"/>
        </w:rPr>
        <w:t>- о</w:t>
      </w:r>
      <w:r w:rsidR="00F96218" w:rsidRPr="00F104D2">
        <w:rPr>
          <w:b/>
          <w:sz w:val="25"/>
          <w:szCs w:val="25"/>
        </w:rPr>
        <w:t>броблення ( відновлення</w:t>
      </w:r>
      <w:r w:rsidR="008C01CF">
        <w:rPr>
          <w:b/>
          <w:sz w:val="25"/>
          <w:szCs w:val="25"/>
        </w:rPr>
        <w:t>,</w:t>
      </w:r>
      <w:r w:rsidR="00F96218" w:rsidRPr="00F104D2">
        <w:rPr>
          <w:b/>
          <w:sz w:val="25"/>
          <w:szCs w:val="25"/>
        </w:rPr>
        <w:t xml:space="preserve"> у тому числі сортування та видалення) відходів</w:t>
      </w:r>
      <w:r w:rsidR="00F96218" w:rsidRPr="00F104D2">
        <w:rPr>
          <w:sz w:val="25"/>
          <w:szCs w:val="25"/>
        </w:rPr>
        <w:t xml:space="preserve"> – </w:t>
      </w:r>
      <w:r w:rsidR="00426583" w:rsidRPr="00F104D2">
        <w:rPr>
          <w:sz w:val="25"/>
          <w:szCs w:val="25"/>
        </w:rPr>
        <w:t>531,2</w:t>
      </w:r>
      <w:r w:rsidR="00F96218" w:rsidRPr="00F104D2">
        <w:rPr>
          <w:sz w:val="25"/>
          <w:szCs w:val="25"/>
        </w:rPr>
        <w:t xml:space="preserve"> тис. гривень</w:t>
      </w:r>
      <w:r w:rsidR="00426583" w:rsidRPr="00F104D2">
        <w:rPr>
          <w:sz w:val="25"/>
          <w:szCs w:val="25"/>
        </w:rPr>
        <w:t>, з них по загальному фонду 300,0 тис. гривень, по спеціальному фонду 231,2 тис. гривень.</w:t>
      </w:r>
    </w:p>
    <w:p w:rsidR="008C01CF" w:rsidRDefault="008C01CF" w:rsidP="00901909">
      <w:pPr>
        <w:ind w:firstLine="567"/>
        <w:jc w:val="center"/>
        <w:rPr>
          <w:b/>
          <w:bCs/>
          <w:sz w:val="26"/>
          <w:szCs w:val="26"/>
        </w:rPr>
      </w:pPr>
    </w:p>
    <w:p w:rsidR="00D24EB8" w:rsidRPr="00901909" w:rsidRDefault="00901909" w:rsidP="00901909">
      <w:pPr>
        <w:ind w:firstLine="567"/>
        <w:jc w:val="center"/>
        <w:rPr>
          <w:b/>
          <w:bCs/>
          <w:sz w:val="26"/>
          <w:szCs w:val="26"/>
        </w:rPr>
      </w:pPr>
      <w:r w:rsidRPr="00901909">
        <w:rPr>
          <w:b/>
          <w:bCs/>
          <w:sz w:val="26"/>
          <w:szCs w:val="26"/>
        </w:rPr>
        <w:t>Медіа та засоби масової інформації</w:t>
      </w:r>
    </w:p>
    <w:p w:rsidR="00186CD5" w:rsidRPr="00A57765" w:rsidRDefault="00D24EB8" w:rsidP="00A57765">
      <w:pPr>
        <w:ind w:firstLine="567"/>
        <w:jc w:val="both"/>
        <w:rPr>
          <w:sz w:val="26"/>
          <w:szCs w:val="26"/>
        </w:rPr>
      </w:pPr>
      <w:r w:rsidRPr="0011430E">
        <w:rPr>
          <w:b/>
          <w:sz w:val="26"/>
          <w:szCs w:val="26"/>
        </w:rPr>
        <w:t>На фінансову підтримку медіа (засобів масової інформації)</w:t>
      </w:r>
      <w:r w:rsidRPr="0011430E">
        <w:rPr>
          <w:sz w:val="26"/>
          <w:szCs w:val="26"/>
        </w:rPr>
        <w:t xml:space="preserve"> передбачено кошти у сумі 2 </w:t>
      </w:r>
      <w:r w:rsidR="00F96218" w:rsidRPr="0011430E">
        <w:rPr>
          <w:sz w:val="26"/>
          <w:szCs w:val="26"/>
        </w:rPr>
        <w:t>000</w:t>
      </w:r>
      <w:r w:rsidRPr="0011430E">
        <w:rPr>
          <w:sz w:val="26"/>
          <w:szCs w:val="26"/>
        </w:rPr>
        <w:t>,0 тис. гривень.</w:t>
      </w:r>
    </w:p>
    <w:p w:rsidR="00186CD5" w:rsidRDefault="00186CD5" w:rsidP="00D24EB8">
      <w:pPr>
        <w:jc w:val="center"/>
        <w:rPr>
          <w:b/>
          <w:bCs/>
          <w:iCs/>
          <w:sz w:val="26"/>
          <w:szCs w:val="26"/>
          <w:u w:val="single"/>
        </w:rPr>
      </w:pPr>
    </w:p>
    <w:p w:rsidR="00D24EB8" w:rsidRPr="0011430E" w:rsidRDefault="00D24EB8" w:rsidP="00D24EB8">
      <w:pPr>
        <w:jc w:val="center"/>
        <w:rPr>
          <w:b/>
          <w:bCs/>
          <w:iCs/>
          <w:sz w:val="26"/>
          <w:szCs w:val="26"/>
          <w:u w:val="single"/>
        </w:rPr>
      </w:pPr>
      <w:r w:rsidRPr="0011430E">
        <w:rPr>
          <w:b/>
          <w:bCs/>
          <w:iCs/>
          <w:sz w:val="26"/>
          <w:szCs w:val="26"/>
          <w:u w:val="single"/>
        </w:rPr>
        <w:t>Головний розпорядник коштів «Відділ освіти»</w:t>
      </w:r>
    </w:p>
    <w:p w:rsidR="00D24EB8" w:rsidRPr="0011430E" w:rsidRDefault="00D24EB8" w:rsidP="00D24EB8">
      <w:pPr>
        <w:ind w:left="360"/>
        <w:jc w:val="center"/>
        <w:rPr>
          <w:b/>
          <w:bCs/>
          <w:iCs/>
          <w:sz w:val="26"/>
          <w:szCs w:val="26"/>
          <w:u w:val="single"/>
        </w:rPr>
      </w:pPr>
    </w:p>
    <w:p w:rsidR="00D24EB8" w:rsidRPr="0011430E" w:rsidRDefault="00D24EB8" w:rsidP="00F104D2">
      <w:pPr>
        <w:pStyle w:val="a5"/>
        <w:ind w:left="0" w:firstLine="567"/>
        <w:jc w:val="both"/>
        <w:rPr>
          <w:rFonts w:ascii="Times New Roman" w:hAnsi="Times New Roman" w:cs="Times New Roman"/>
          <w:sz w:val="26"/>
          <w:szCs w:val="26"/>
        </w:rPr>
      </w:pPr>
      <w:r w:rsidRPr="0011430E">
        <w:rPr>
          <w:rFonts w:ascii="Times New Roman" w:hAnsi="Times New Roman" w:cs="Times New Roman"/>
          <w:sz w:val="26"/>
          <w:szCs w:val="26"/>
        </w:rPr>
        <w:t>Видатки бюджету</w:t>
      </w:r>
      <w:r w:rsidRPr="0011430E">
        <w:rPr>
          <w:rFonts w:ascii="Times New Roman" w:hAnsi="Times New Roman" w:cs="Times New Roman"/>
          <w:bCs/>
          <w:sz w:val="26"/>
          <w:szCs w:val="26"/>
        </w:rPr>
        <w:t xml:space="preserve"> Тростянецької міської територіальної громади на</w:t>
      </w:r>
      <w:r w:rsidRPr="0011430E">
        <w:rPr>
          <w:rFonts w:ascii="Times New Roman" w:hAnsi="Times New Roman" w:cs="Times New Roman"/>
          <w:sz w:val="26"/>
          <w:szCs w:val="26"/>
        </w:rPr>
        <w:t xml:space="preserve"> 202</w:t>
      </w:r>
      <w:r w:rsidR="00A819CF" w:rsidRPr="0011430E">
        <w:rPr>
          <w:rFonts w:ascii="Times New Roman" w:hAnsi="Times New Roman" w:cs="Times New Roman"/>
          <w:sz w:val="26"/>
          <w:szCs w:val="26"/>
        </w:rPr>
        <w:t>6</w:t>
      </w:r>
      <w:r w:rsidRPr="0011430E">
        <w:rPr>
          <w:rFonts w:ascii="Times New Roman" w:hAnsi="Times New Roman" w:cs="Times New Roman"/>
          <w:sz w:val="26"/>
          <w:szCs w:val="26"/>
        </w:rPr>
        <w:t xml:space="preserve"> рік на утримання установ і закладів освіти затверджені в сумі </w:t>
      </w:r>
      <w:r w:rsidR="00424221" w:rsidRPr="0011430E">
        <w:rPr>
          <w:rFonts w:ascii="Times New Roman" w:hAnsi="Times New Roman" w:cs="Times New Roman"/>
          <w:sz w:val="26"/>
          <w:szCs w:val="26"/>
        </w:rPr>
        <w:t>155 678,2</w:t>
      </w:r>
      <w:r w:rsidRPr="0011430E">
        <w:rPr>
          <w:rFonts w:ascii="Times New Roman" w:hAnsi="Times New Roman" w:cs="Times New Roman"/>
          <w:sz w:val="26"/>
          <w:szCs w:val="26"/>
        </w:rPr>
        <w:t xml:space="preserve"> тис. гривень, з них загальний фонд – </w:t>
      </w:r>
      <w:r w:rsidR="00424221" w:rsidRPr="0011430E">
        <w:rPr>
          <w:rFonts w:ascii="Times New Roman" w:hAnsi="Times New Roman" w:cs="Times New Roman"/>
          <w:sz w:val="26"/>
          <w:szCs w:val="26"/>
        </w:rPr>
        <w:t>155 218,2</w:t>
      </w:r>
      <w:r w:rsidRPr="0011430E">
        <w:rPr>
          <w:rFonts w:ascii="Times New Roman" w:hAnsi="Times New Roman" w:cs="Times New Roman"/>
          <w:sz w:val="26"/>
          <w:szCs w:val="26"/>
        </w:rPr>
        <w:t xml:space="preserve"> тис. гривень (в тому числі освітня субвенція з державного бюджету місцевим бюджетам – </w:t>
      </w:r>
      <w:r w:rsidR="00A819CF" w:rsidRPr="0011430E">
        <w:rPr>
          <w:rFonts w:ascii="Times New Roman" w:hAnsi="Times New Roman" w:cs="Times New Roman"/>
          <w:sz w:val="26"/>
          <w:szCs w:val="26"/>
        </w:rPr>
        <w:t>62 403,7</w:t>
      </w:r>
      <w:r w:rsidRPr="0011430E">
        <w:rPr>
          <w:rFonts w:ascii="Times New Roman" w:hAnsi="Times New Roman" w:cs="Times New Roman"/>
          <w:sz w:val="26"/>
          <w:szCs w:val="26"/>
        </w:rPr>
        <w:t xml:space="preserve"> тис. гривень (передбачена на 8 місяців</w:t>
      </w:r>
      <w:r w:rsidR="002D2E00" w:rsidRPr="0011430E">
        <w:rPr>
          <w:rFonts w:ascii="Times New Roman" w:hAnsi="Times New Roman" w:cs="Times New Roman"/>
          <w:sz w:val="26"/>
          <w:szCs w:val="26"/>
        </w:rPr>
        <w:t xml:space="preserve"> ); субвенція з місцевого бюджету на здійснення переданих видатків у сфері освіти за рахунок коштів освітньої субвенції – 1 342,7 тис. гривень.</w:t>
      </w:r>
      <w:r w:rsidR="00B20E69" w:rsidRPr="0011430E">
        <w:rPr>
          <w:rFonts w:ascii="Times New Roman" w:hAnsi="Times New Roman" w:cs="Times New Roman"/>
          <w:sz w:val="26"/>
          <w:szCs w:val="26"/>
        </w:rPr>
        <w:t xml:space="preserve"> На</w:t>
      </w:r>
      <w:r w:rsidRPr="0011430E">
        <w:rPr>
          <w:rFonts w:ascii="Times New Roman" w:hAnsi="Times New Roman" w:cs="Times New Roman"/>
          <w:sz w:val="26"/>
          <w:szCs w:val="26"/>
        </w:rPr>
        <w:t xml:space="preserve"> заробітн</w:t>
      </w:r>
      <w:r w:rsidR="00B20E69" w:rsidRPr="0011430E">
        <w:rPr>
          <w:rFonts w:ascii="Times New Roman" w:hAnsi="Times New Roman" w:cs="Times New Roman"/>
          <w:sz w:val="26"/>
          <w:szCs w:val="26"/>
        </w:rPr>
        <w:t>у</w:t>
      </w:r>
      <w:r w:rsidRPr="0011430E">
        <w:rPr>
          <w:rFonts w:ascii="Times New Roman" w:hAnsi="Times New Roman" w:cs="Times New Roman"/>
          <w:sz w:val="26"/>
          <w:szCs w:val="26"/>
        </w:rPr>
        <w:t xml:space="preserve"> плат</w:t>
      </w:r>
      <w:r w:rsidR="00B20E69" w:rsidRPr="0011430E">
        <w:rPr>
          <w:rFonts w:ascii="Times New Roman" w:hAnsi="Times New Roman" w:cs="Times New Roman"/>
          <w:sz w:val="26"/>
          <w:szCs w:val="26"/>
        </w:rPr>
        <w:t>у</w:t>
      </w:r>
      <w:r w:rsidRPr="0011430E">
        <w:rPr>
          <w:rFonts w:ascii="Times New Roman" w:hAnsi="Times New Roman" w:cs="Times New Roman"/>
          <w:sz w:val="26"/>
          <w:szCs w:val="26"/>
        </w:rPr>
        <w:t xml:space="preserve"> з нарахуванням</w:t>
      </w:r>
      <w:r w:rsidR="00B20E69" w:rsidRPr="0011430E">
        <w:rPr>
          <w:rFonts w:ascii="Times New Roman" w:hAnsi="Times New Roman" w:cs="Times New Roman"/>
          <w:sz w:val="26"/>
          <w:szCs w:val="26"/>
        </w:rPr>
        <w:t>и</w:t>
      </w:r>
      <w:r w:rsidRPr="0011430E">
        <w:rPr>
          <w:rFonts w:ascii="Times New Roman" w:hAnsi="Times New Roman" w:cs="Times New Roman"/>
          <w:sz w:val="26"/>
          <w:szCs w:val="26"/>
        </w:rPr>
        <w:t xml:space="preserve"> </w:t>
      </w:r>
      <w:r w:rsidR="00B20E69" w:rsidRPr="0011430E">
        <w:rPr>
          <w:rFonts w:ascii="Times New Roman" w:hAnsi="Times New Roman" w:cs="Times New Roman"/>
          <w:sz w:val="26"/>
          <w:szCs w:val="26"/>
        </w:rPr>
        <w:t xml:space="preserve">заплановано </w:t>
      </w:r>
      <w:r w:rsidR="00424221" w:rsidRPr="0011430E">
        <w:rPr>
          <w:rFonts w:ascii="Times New Roman" w:hAnsi="Times New Roman" w:cs="Times New Roman"/>
          <w:sz w:val="26"/>
          <w:szCs w:val="26"/>
        </w:rPr>
        <w:t>119 599,7</w:t>
      </w:r>
      <w:r w:rsidRPr="0011430E">
        <w:rPr>
          <w:rFonts w:ascii="Times New Roman" w:hAnsi="Times New Roman" w:cs="Times New Roman"/>
          <w:sz w:val="26"/>
          <w:szCs w:val="26"/>
        </w:rPr>
        <w:t xml:space="preserve"> тис. гривень, </w:t>
      </w:r>
      <w:r w:rsidR="00B20E69" w:rsidRPr="0011430E">
        <w:rPr>
          <w:rFonts w:ascii="Times New Roman" w:hAnsi="Times New Roman" w:cs="Times New Roman"/>
          <w:sz w:val="26"/>
          <w:szCs w:val="26"/>
        </w:rPr>
        <w:t xml:space="preserve">на </w:t>
      </w:r>
      <w:r w:rsidRPr="0011430E">
        <w:rPr>
          <w:rFonts w:ascii="Times New Roman" w:hAnsi="Times New Roman" w:cs="Times New Roman"/>
          <w:sz w:val="26"/>
          <w:szCs w:val="26"/>
        </w:rPr>
        <w:t xml:space="preserve">комунальні послуги та енергоносії – </w:t>
      </w:r>
      <w:r w:rsidR="00A819CF" w:rsidRPr="0011430E">
        <w:rPr>
          <w:rFonts w:ascii="Times New Roman" w:hAnsi="Times New Roman" w:cs="Times New Roman"/>
          <w:sz w:val="26"/>
          <w:szCs w:val="26"/>
        </w:rPr>
        <w:t>17 514,6</w:t>
      </w:r>
      <w:r w:rsidRPr="0011430E">
        <w:rPr>
          <w:rFonts w:ascii="Times New Roman" w:hAnsi="Times New Roman" w:cs="Times New Roman"/>
          <w:sz w:val="26"/>
          <w:szCs w:val="26"/>
        </w:rPr>
        <w:t xml:space="preserve"> тис. гривень та спеціальний фонд – </w:t>
      </w:r>
      <w:r w:rsidR="00CF2699" w:rsidRPr="0011430E">
        <w:rPr>
          <w:rFonts w:ascii="Times New Roman" w:hAnsi="Times New Roman" w:cs="Times New Roman"/>
          <w:sz w:val="26"/>
          <w:szCs w:val="26"/>
        </w:rPr>
        <w:t>460,0</w:t>
      </w:r>
      <w:r w:rsidRPr="0011430E">
        <w:rPr>
          <w:rFonts w:ascii="Times New Roman" w:hAnsi="Times New Roman" w:cs="Times New Roman"/>
          <w:sz w:val="26"/>
          <w:szCs w:val="26"/>
        </w:rPr>
        <w:t xml:space="preserve"> тис. гривень</w:t>
      </w:r>
      <w:r w:rsidR="00B20E69" w:rsidRPr="0011430E">
        <w:rPr>
          <w:rFonts w:ascii="Times New Roman" w:hAnsi="Times New Roman" w:cs="Times New Roman"/>
          <w:sz w:val="26"/>
          <w:szCs w:val="26"/>
        </w:rPr>
        <w:t xml:space="preserve"> (в тому числі за рахунок платних послуг </w:t>
      </w:r>
      <w:r w:rsidR="00CF2699" w:rsidRPr="0011430E">
        <w:rPr>
          <w:rFonts w:ascii="Times New Roman" w:hAnsi="Times New Roman" w:cs="Times New Roman"/>
          <w:sz w:val="26"/>
          <w:szCs w:val="26"/>
        </w:rPr>
        <w:t xml:space="preserve">460,0 </w:t>
      </w:r>
      <w:r w:rsidR="00B20E69" w:rsidRPr="0011430E">
        <w:rPr>
          <w:rFonts w:ascii="Times New Roman" w:hAnsi="Times New Roman" w:cs="Times New Roman"/>
          <w:sz w:val="26"/>
          <w:szCs w:val="26"/>
        </w:rPr>
        <w:t>тис. гривень)</w:t>
      </w:r>
      <w:r w:rsidRPr="0011430E">
        <w:rPr>
          <w:rFonts w:ascii="Times New Roman" w:hAnsi="Times New Roman" w:cs="Times New Roman"/>
          <w:sz w:val="26"/>
          <w:szCs w:val="26"/>
        </w:rPr>
        <w:t>.</w:t>
      </w:r>
    </w:p>
    <w:p w:rsidR="00D24EB8" w:rsidRPr="00D30392" w:rsidRDefault="00D24EB8" w:rsidP="00D30392">
      <w:pPr>
        <w:pStyle w:val="ac"/>
        <w:suppressAutoHyphens/>
        <w:ind w:firstLine="567"/>
        <w:jc w:val="both"/>
        <w:rPr>
          <w:sz w:val="26"/>
          <w:szCs w:val="26"/>
        </w:rPr>
      </w:pPr>
      <w:r w:rsidRPr="0011430E">
        <w:rPr>
          <w:sz w:val="26"/>
          <w:szCs w:val="26"/>
        </w:rPr>
        <w:lastRenderedPageBreak/>
        <w:t xml:space="preserve">Ці кошти будуть направлені на утримання </w:t>
      </w:r>
      <w:r w:rsidR="00A819CF" w:rsidRPr="0011430E">
        <w:rPr>
          <w:sz w:val="26"/>
          <w:szCs w:val="26"/>
        </w:rPr>
        <w:t>4</w:t>
      </w:r>
      <w:r w:rsidRPr="0011430E">
        <w:rPr>
          <w:sz w:val="26"/>
          <w:szCs w:val="26"/>
        </w:rPr>
        <w:t xml:space="preserve"> дошкільних закладів, 1 загальноосвітня школа, 3 ліцеї, 1 позашкільного закладу, 1 спортивний заклад, центр професійного розвитку педагогічних працівників, централізована бухгалтерія, 1 інклюзивний заклад.</w:t>
      </w:r>
    </w:p>
    <w:p w:rsidR="0017573A" w:rsidRPr="0011430E" w:rsidRDefault="00D24EB8" w:rsidP="00F104D2">
      <w:pPr>
        <w:ind w:firstLine="567"/>
        <w:jc w:val="both"/>
        <w:rPr>
          <w:sz w:val="26"/>
          <w:szCs w:val="26"/>
        </w:rPr>
      </w:pPr>
      <w:r w:rsidRPr="0011430E">
        <w:rPr>
          <w:b/>
          <w:sz w:val="26"/>
          <w:szCs w:val="26"/>
        </w:rPr>
        <w:t>На апарат відділу освіти</w:t>
      </w:r>
      <w:r w:rsidRPr="0011430E">
        <w:rPr>
          <w:sz w:val="26"/>
          <w:szCs w:val="26"/>
        </w:rPr>
        <w:t xml:space="preserve"> передбачено кошти у сумі 2</w:t>
      </w:r>
      <w:r w:rsidR="00A819CF" w:rsidRPr="0011430E">
        <w:rPr>
          <w:sz w:val="26"/>
          <w:szCs w:val="26"/>
        </w:rPr>
        <w:t> 8</w:t>
      </w:r>
      <w:r w:rsidR="0017573A" w:rsidRPr="0011430E">
        <w:rPr>
          <w:sz w:val="26"/>
          <w:szCs w:val="26"/>
        </w:rPr>
        <w:t>8</w:t>
      </w:r>
      <w:r w:rsidR="00A819CF" w:rsidRPr="0011430E">
        <w:rPr>
          <w:sz w:val="26"/>
          <w:szCs w:val="26"/>
        </w:rPr>
        <w:t>5,3</w:t>
      </w:r>
      <w:r w:rsidRPr="0011430E">
        <w:rPr>
          <w:sz w:val="26"/>
          <w:szCs w:val="26"/>
        </w:rPr>
        <w:t xml:space="preserve"> тис. гривень в тому числі оплата праці з нарахуванням у сумі 1</w:t>
      </w:r>
      <w:r w:rsidR="00A819CF" w:rsidRPr="0011430E">
        <w:rPr>
          <w:sz w:val="26"/>
          <w:szCs w:val="26"/>
        </w:rPr>
        <w:t> 748,6</w:t>
      </w:r>
      <w:r w:rsidRPr="0011430E">
        <w:rPr>
          <w:sz w:val="26"/>
          <w:szCs w:val="26"/>
        </w:rPr>
        <w:t xml:space="preserve"> тис. гривень, комунальні послуги та енергоносії у сумі 6</w:t>
      </w:r>
      <w:r w:rsidR="00A819CF" w:rsidRPr="0011430E">
        <w:rPr>
          <w:sz w:val="26"/>
          <w:szCs w:val="26"/>
        </w:rPr>
        <w:t>18,1</w:t>
      </w:r>
      <w:r w:rsidRPr="0011430E">
        <w:rPr>
          <w:sz w:val="26"/>
          <w:szCs w:val="26"/>
        </w:rPr>
        <w:t xml:space="preserve"> тис. гривень</w:t>
      </w:r>
      <w:r w:rsidR="0017573A" w:rsidRPr="0011430E">
        <w:rPr>
          <w:sz w:val="26"/>
          <w:szCs w:val="26"/>
        </w:rPr>
        <w:t>.</w:t>
      </w:r>
    </w:p>
    <w:p w:rsidR="00D24EB8" w:rsidRPr="0011430E" w:rsidRDefault="00D24EB8" w:rsidP="00F104D2">
      <w:pPr>
        <w:ind w:firstLine="567"/>
        <w:jc w:val="both"/>
        <w:rPr>
          <w:sz w:val="26"/>
          <w:szCs w:val="26"/>
        </w:rPr>
      </w:pPr>
      <w:r w:rsidRPr="0011430E">
        <w:rPr>
          <w:b/>
          <w:sz w:val="26"/>
          <w:szCs w:val="26"/>
        </w:rPr>
        <w:t xml:space="preserve">На надання дошкільної освіти </w:t>
      </w:r>
      <w:r w:rsidRPr="0011430E">
        <w:rPr>
          <w:bCs/>
          <w:sz w:val="26"/>
          <w:szCs w:val="26"/>
        </w:rPr>
        <w:t>передбачено кошти</w:t>
      </w:r>
      <w:r w:rsidRPr="0011430E">
        <w:rPr>
          <w:sz w:val="26"/>
          <w:szCs w:val="26"/>
        </w:rPr>
        <w:t xml:space="preserve"> у сумі </w:t>
      </w:r>
      <w:r w:rsidR="0017573A" w:rsidRPr="0011430E">
        <w:rPr>
          <w:sz w:val="26"/>
          <w:szCs w:val="26"/>
        </w:rPr>
        <w:t>30 063,8</w:t>
      </w:r>
      <w:r w:rsidRPr="0011430E">
        <w:rPr>
          <w:sz w:val="26"/>
          <w:szCs w:val="26"/>
        </w:rPr>
        <w:t xml:space="preserve"> тис. гривень, з них по загальному фонду </w:t>
      </w:r>
      <w:r w:rsidR="00A819CF" w:rsidRPr="0011430E">
        <w:rPr>
          <w:sz w:val="26"/>
          <w:szCs w:val="26"/>
        </w:rPr>
        <w:t>29</w:t>
      </w:r>
      <w:r w:rsidR="0017573A" w:rsidRPr="0011430E">
        <w:rPr>
          <w:sz w:val="26"/>
          <w:szCs w:val="26"/>
        </w:rPr>
        <w:t> 683,8</w:t>
      </w:r>
      <w:r w:rsidRPr="0011430E">
        <w:rPr>
          <w:sz w:val="26"/>
          <w:szCs w:val="26"/>
        </w:rPr>
        <w:t xml:space="preserve"> тис. гривень, в тому числі оплата праці з нарахуванням у сумі 1</w:t>
      </w:r>
      <w:r w:rsidR="00A819CF" w:rsidRPr="0011430E">
        <w:rPr>
          <w:sz w:val="26"/>
          <w:szCs w:val="26"/>
        </w:rPr>
        <w:t>9 584,0</w:t>
      </w:r>
      <w:r w:rsidRPr="0011430E">
        <w:rPr>
          <w:sz w:val="26"/>
          <w:szCs w:val="26"/>
        </w:rPr>
        <w:t xml:space="preserve"> тис. гривень, комунальні послуги та енергоносії у сумі 4</w:t>
      </w:r>
      <w:r w:rsidR="00A819CF" w:rsidRPr="0011430E">
        <w:rPr>
          <w:sz w:val="26"/>
          <w:szCs w:val="26"/>
        </w:rPr>
        <w:t>263,3</w:t>
      </w:r>
      <w:r w:rsidRPr="0011430E">
        <w:rPr>
          <w:sz w:val="26"/>
          <w:szCs w:val="26"/>
        </w:rPr>
        <w:t xml:space="preserve"> тис. гривень; </w:t>
      </w:r>
      <w:bookmarkStart w:id="2" w:name="_Hlk185518378"/>
      <w:r w:rsidRPr="0011430E">
        <w:rPr>
          <w:sz w:val="26"/>
          <w:szCs w:val="26"/>
        </w:rPr>
        <w:t xml:space="preserve">по спеціальному фонду </w:t>
      </w:r>
      <w:r w:rsidR="0017573A" w:rsidRPr="0011430E">
        <w:rPr>
          <w:sz w:val="26"/>
          <w:szCs w:val="26"/>
        </w:rPr>
        <w:t>3</w:t>
      </w:r>
      <w:r w:rsidRPr="0011430E">
        <w:rPr>
          <w:sz w:val="26"/>
          <w:szCs w:val="26"/>
        </w:rPr>
        <w:t xml:space="preserve">80,0 тис. гривень </w:t>
      </w:r>
      <w:bookmarkEnd w:id="2"/>
      <w:r w:rsidRPr="0011430E">
        <w:rPr>
          <w:sz w:val="26"/>
          <w:szCs w:val="26"/>
        </w:rPr>
        <w:t>(</w:t>
      </w:r>
      <w:r w:rsidRPr="0011430E">
        <w:rPr>
          <w:i/>
          <w:sz w:val="26"/>
          <w:szCs w:val="26"/>
        </w:rPr>
        <w:t>батьківська плата за харчування</w:t>
      </w:r>
      <w:r w:rsidRPr="0011430E">
        <w:rPr>
          <w:sz w:val="26"/>
          <w:szCs w:val="26"/>
        </w:rPr>
        <w:t>).</w:t>
      </w:r>
    </w:p>
    <w:p w:rsidR="00D24EB8" w:rsidRPr="0011430E" w:rsidRDefault="00D24EB8" w:rsidP="00F104D2">
      <w:pPr>
        <w:ind w:firstLine="567"/>
        <w:jc w:val="both"/>
        <w:rPr>
          <w:sz w:val="26"/>
          <w:szCs w:val="26"/>
        </w:rPr>
      </w:pPr>
      <w:r w:rsidRPr="0011430E">
        <w:rPr>
          <w:b/>
          <w:sz w:val="26"/>
          <w:szCs w:val="26"/>
        </w:rPr>
        <w:t xml:space="preserve">На надання загальної середньої освіти закладами загальної середньої освіти </w:t>
      </w:r>
      <w:r w:rsidRPr="0011430E">
        <w:rPr>
          <w:sz w:val="26"/>
          <w:szCs w:val="26"/>
        </w:rPr>
        <w:t xml:space="preserve">коштами місцевого бюджету передбачено </w:t>
      </w:r>
      <w:r w:rsidR="00641701" w:rsidRPr="0011430E">
        <w:rPr>
          <w:sz w:val="26"/>
          <w:szCs w:val="26"/>
        </w:rPr>
        <w:t>38 715,3</w:t>
      </w:r>
      <w:r w:rsidRPr="0011430E">
        <w:rPr>
          <w:sz w:val="26"/>
          <w:szCs w:val="26"/>
        </w:rPr>
        <w:t xml:space="preserve"> тис. гривень, з них по загальному фонду 3</w:t>
      </w:r>
      <w:r w:rsidR="00641701" w:rsidRPr="0011430E">
        <w:rPr>
          <w:sz w:val="26"/>
          <w:szCs w:val="26"/>
        </w:rPr>
        <w:t xml:space="preserve">8 635,3 </w:t>
      </w:r>
      <w:r w:rsidRPr="0011430E">
        <w:rPr>
          <w:sz w:val="26"/>
          <w:szCs w:val="26"/>
        </w:rPr>
        <w:t>тис. гривень, в тому числі оплата праці з нарахуванням у сумі 1</w:t>
      </w:r>
      <w:r w:rsidR="00A819CF" w:rsidRPr="0011430E">
        <w:rPr>
          <w:sz w:val="26"/>
          <w:szCs w:val="26"/>
        </w:rPr>
        <w:t>8 250,0</w:t>
      </w:r>
      <w:r w:rsidRPr="0011430E">
        <w:rPr>
          <w:sz w:val="26"/>
          <w:szCs w:val="26"/>
        </w:rPr>
        <w:t xml:space="preserve"> тис. гривень, комунальні послуги та енергоносії у сумі </w:t>
      </w:r>
      <w:r w:rsidR="00A819CF" w:rsidRPr="0011430E">
        <w:rPr>
          <w:sz w:val="26"/>
          <w:szCs w:val="26"/>
        </w:rPr>
        <w:t>10 980,0</w:t>
      </w:r>
      <w:r w:rsidRPr="0011430E">
        <w:rPr>
          <w:sz w:val="26"/>
          <w:szCs w:val="26"/>
        </w:rPr>
        <w:t xml:space="preserve"> тис. гривень; по спеціальному фонду </w:t>
      </w:r>
      <w:r w:rsidR="00641701" w:rsidRPr="0011430E">
        <w:rPr>
          <w:sz w:val="26"/>
          <w:szCs w:val="26"/>
        </w:rPr>
        <w:t>80,0</w:t>
      </w:r>
      <w:r w:rsidRPr="0011430E">
        <w:rPr>
          <w:sz w:val="26"/>
          <w:szCs w:val="26"/>
        </w:rPr>
        <w:t xml:space="preserve"> тис. гривень (</w:t>
      </w:r>
      <w:r w:rsidRPr="0011430E">
        <w:rPr>
          <w:i/>
          <w:sz w:val="26"/>
          <w:szCs w:val="26"/>
        </w:rPr>
        <w:t xml:space="preserve">батьківська плата за харчування – </w:t>
      </w:r>
      <w:r w:rsidR="00641701" w:rsidRPr="0011430E">
        <w:rPr>
          <w:i/>
          <w:sz w:val="26"/>
          <w:szCs w:val="26"/>
        </w:rPr>
        <w:t>80</w:t>
      </w:r>
      <w:r w:rsidRPr="0011430E">
        <w:rPr>
          <w:i/>
          <w:sz w:val="26"/>
          <w:szCs w:val="26"/>
        </w:rPr>
        <w:t>,0 тис. гривень</w:t>
      </w:r>
      <w:r w:rsidR="00641701" w:rsidRPr="0011430E">
        <w:rPr>
          <w:i/>
          <w:sz w:val="26"/>
          <w:szCs w:val="26"/>
        </w:rPr>
        <w:t>).</w:t>
      </w:r>
    </w:p>
    <w:p w:rsidR="00D24EB8" w:rsidRPr="0011430E" w:rsidRDefault="00D24EB8" w:rsidP="00F104D2">
      <w:pPr>
        <w:ind w:firstLine="567"/>
        <w:jc w:val="both"/>
        <w:rPr>
          <w:sz w:val="26"/>
          <w:szCs w:val="26"/>
        </w:rPr>
      </w:pPr>
      <w:r w:rsidRPr="0011430E">
        <w:rPr>
          <w:b/>
          <w:bCs/>
          <w:sz w:val="26"/>
          <w:szCs w:val="26"/>
        </w:rPr>
        <w:t>На надання загальної середньої освіти</w:t>
      </w:r>
      <w:r w:rsidRPr="0011430E">
        <w:rPr>
          <w:sz w:val="26"/>
          <w:szCs w:val="26"/>
        </w:rPr>
        <w:t xml:space="preserve"> </w:t>
      </w:r>
      <w:r w:rsidRPr="0011430E">
        <w:rPr>
          <w:b/>
          <w:sz w:val="26"/>
          <w:szCs w:val="26"/>
        </w:rPr>
        <w:t>за рахунок освітньої субвенції</w:t>
      </w:r>
      <w:r w:rsidR="00B20E69" w:rsidRPr="0011430E">
        <w:rPr>
          <w:sz w:val="26"/>
          <w:szCs w:val="26"/>
        </w:rPr>
        <w:t xml:space="preserve"> </w:t>
      </w:r>
      <w:r w:rsidR="00B20E69" w:rsidRPr="0011430E">
        <w:rPr>
          <w:b/>
          <w:sz w:val="26"/>
          <w:szCs w:val="26"/>
        </w:rPr>
        <w:t>з державного бюджету</w:t>
      </w:r>
      <w:r w:rsidR="00B20E69" w:rsidRPr="0011430E">
        <w:rPr>
          <w:sz w:val="26"/>
          <w:szCs w:val="26"/>
        </w:rPr>
        <w:t xml:space="preserve"> </w:t>
      </w:r>
      <w:r w:rsidRPr="0011430E">
        <w:rPr>
          <w:sz w:val="26"/>
          <w:szCs w:val="26"/>
        </w:rPr>
        <w:t xml:space="preserve">передбачено </w:t>
      </w:r>
      <w:r w:rsidR="00A819CF" w:rsidRPr="0011430E">
        <w:rPr>
          <w:sz w:val="26"/>
          <w:szCs w:val="26"/>
        </w:rPr>
        <w:t>62 403,7</w:t>
      </w:r>
      <w:r w:rsidRPr="0011430E">
        <w:rPr>
          <w:sz w:val="26"/>
          <w:szCs w:val="26"/>
        </w:rPr>
        <w:t xml:space="preserve"> тис. гривень. Дані кошти передбачені на виплату заробітної плати з нарахуваннями педагогічним працівникам на січень – серпень 202</w:t>
      </w:r>
      <w:r w:rsidR="00A819CF" w:rsidRPr="0011430E">
        <w:rPr>
          <w:sz w:val="26"/>
          <w:szCs w:val="26"/>
        </w:rPr>
        <w:t>6</w:t>
      </w:r>
      <w:r w:rsidRPr="0011430E">
        <w:rPr>
          <w:sz w:val="26"/>
          <w:szCs w:val="26"/>
        </w:rPr>
        <w:t xml:space="preserve"> року.</w:t>
      </w:r>
    </w:p>
    <w:p w:rsidR="00D24EB8" w:rsidRPr="0011430E" w:rsidRDefault="00D24EB8" w:rsidP="00F104D2">
      <w:pPr>
        <w:ind w:firstLine="567"/>
        <w:jc w:val="both"/>
        <w:rPr>
          <w:bCs/>
          <w:sz w:val="26"/>
          <w:szCs w:val="26"/>
        </w:rPr>
      </w:pPr>
      <w:r w:rsidRPr="0011430E">
        <w:rPr>
          <w:b/>
          <w:bCs/>
          <w:sz w:val="26"/>
          <w:szCs w:val="26"/>
        </w:rPr>
        <w:t>На з</w:t>
      </w:r>
      <w:r w:rsidRPr="0011430E">
        <w:rPr>
          <w:b/>
          <w:sz w:val="26"/>
          <w:szCs w:val="26"/>
        </w:rPr>
        <w:t>абезпечення належних умов для виховання та розвитку дітей сиріт і дітей, позбавлених батьківського піклування, в дитячих будинках, у тому числі сімейного типу, прийомних сім’ях патронатного</w:t>
      </w:r>
      <w:r w:rsidRPr="0011430E">
        <w:rPr>
          <w:sz w:val="26"/>
          <w:szCs w:val="26"/>
        </w:rPr>
        <w:t xml:space="preserve"> </w:t>
      </w:r>
      <w:r w:rsidRPr="0011430E">
        <w:rPr>
          <w:b/>
          <w:sz w:val="26"/>
          <w:szCs w:val="26"/>
        </w:rPr>
        <w:t xml:space="preserve">вихователя </w:t>
      </w:r>
      <w:r w:rsidRPr="0011430E">
        <w:rPr>
          <w:bCs/>
          <w:sz w:val="26"/>
          <w:szCs w:val="26"/>
        </w:rPr>
        <w:t xml:space="preserve">передбачено кошти у сумі </w:t>
      </w:r>
      <w:r w:rsidR="00A819CF" w:rsidRPr="0011430E">
        <w:rPr>
          <w:bCs/>
          <w:sz w:val="26"/>
          <w:szCs w:val="26"/>
        </w:rPr>
        <w:t xml:space="preserve"> 9,1</w:t>
      </w:r>
      <w:r w:rsidRPr="0011430E">
        <w:rPr>
          <w:bCs/>
          <w:sz w:val="26"/>
          <w:szCs w:val="26"/>
        </w:rPr>
        <w:t xml:space="preserve"> тис. гривень.</w:t>
      </w:r>
    </w:p>
    <w:p w:rsidR="00CD2A60" w:rsidRPr="0011430E" w:rsidRDefault="00D24EB8" w:rsidP="00F104D2">
      <w:pPr>
        <w:ind w:firstLine="567"/>
        <w:jc w:val="both"/>
        <w:rPr>
          <w:sz w:val="26"/>
          <w:szCs w:val="26"/>
        </w:rPr>
      </w:pPr>
      <w:r w:rsidRPr="0011430E">
        <w:rPr>
          <w:b/>
          <w:sz w:val="26"/>
          <w:szCs w:val="26"/>
        </w:rPr>
        <w:t>На надання позашкільної освіти позашкільними закладами освіти, заходи із позашкільної роботи з дітьми</w:t>
      </w:r>
      <w:r w:rsidRPr="0011430E">
        <w:rPr>
          <w:sz w:val="26"/>
          <w:szCs w:val="26"/>
        </w:rPr>
        <w:t xml:space="preserve"> передбачено кошти у сумі </w:t>
      </w:r>
      <w:r w:rsidR="00FF0CCD" w:rsidRPr="0011430E">
        <w:rPr>
          <w:sz w:val="26"/>
          <w:szCs w:val="26"/>
        </w:rPr>
        <w:t>9 809,7</w:t>
      </w:r>
      <w:r w:rsidRPr="0011430E">
        <w:rPr>
          <w:sz w:val="26"/>
          <w:szCs w:val="26"/>
        </w:rPr>
        <w:t xml:space="preserve"> тис. гривень, з них оплата праці з нарахуваннями у сумі 7</w:t>
      </w:r>
      <w:r w:rsidR="00A819CF" w:rsidRPr="0011430E">
        <w:rPr>
          <w:sz w:val="26"/>
          <w:szCs w:val="26"/>
        </w:rPr>
        <w:t> 822,9</w:t>
      </w:r>
      <w:r w:rsidRPr="0011430E">
        <w:rPr>
          <w:sz w:val="26"/>
          <w:szCs w:val="26"/>
        </w:rPr>
        <w:t xml:space="preserve"> тис. гривень, комунальні послуги та енергоносії у сумі </w:t>
      </w:r>
      <w:r w:rsidR="00A819CF" w:rsidRPr="0011430E">
        <w:rPr>
          <w:sz w:val="26"/>
          <w:szCs w:val="26"/>
        </w:rPr>
        <w:t>1075,2</w:t>
      </w:r>
      <w:r w:rsidRPr="0011430E">
        <w:rPr>
          <w:sz w:val="26"/>
          <w:szCs w:val="26"/>
        </w:rPr>
        <w:t xml:space="preserve"> тис. гривень</w:t>
      </w:r>
      <w:r w:rsidR="00CD2A60" w:rsidRPr="0011430E">
        <w:rPr>
          <w:sz w:val="26"/>
          <w:szCs w:val="26"/>
        </w:rPr>
        <w:t>.</w:t>
      </w:r>
    </w:p>
    <w:p w:rsidR="000F53FF" w:rsidRPr="0011430E" w:rsidRDefault="00D24EB8" w:rsidP="00F104D2">
      <w:pPr>
        <w:ind w:firstLine="567"/>
        <w:jc w:val="both"/>
        <w:rPr>
          <w:sz w:val="26"/>
          <w:szCs w:val="26"/>
        </w:rPr>
      </w:pPr>
      <w:r w:rsidRPr="0011430E">
        <w:rPr>
          <w:b/>
          <w:sz w:val="26"/>
          <w:szCs w:val="26"/>
        </w:rPr>
        <w:t>На забезпечення діяльності інших закладів</w:t>
      </w:r>
      <w:r w:rsidRPr="0011430E">
        <w:rPr>
          <w:sz w:val="26"/>
          <w:szCs w:val="26"/>
        </w:rPr>
        <w:t xml:space="preserve"> </w:t>
      </w:r>
      <w:r w:rsidR="00B20E69" w:rsidRPr="0011430E">
        <w:rPr>
          <w:sz w:val="26"/>
          <w:szCs w:val="26"/>
        </w:rPr>
        <w:t xml:space="preserve">(централізована бухгалтерія відділу освіти) </w:t>
      </w:r>
      <w:r w:rsidRPr="0011430E">
        <w:rPr>
          <w:sz w:val="26"/>
          <w:szCs w:val="26"/>
        </w:rPr>
        <w:t xml:space="preserve">передбачено кошти у сумі </w:t>
      </w:r>
      <w:r w:rsidR="000F53FF" w:rsidRPr="0011430E">
        <w:rPr>
          <w:sz w:val="26"/>
          <w:szCs w:val="26"/>
        </w:rPr>
        <w:t>5 377,0</w:t>
      </w:r>
      <w:r w:rsidRPr="0011430E">
        <w:rPr>
          <w:sz w:val="26"/>
          <w:szCs w:val="26"/>
        </w:rPr>
        <w:t xml:space="preserve"> тис. гривень</w:t>
      </w:r>
      <w:r w:rsidR="00B20E69" w:rsidRPr="0011430E">
        <w:rPr>
          <w:sz w:val="26"/>
          <w:szCs w:val="26"/>
        </w:rPr>
        <w:t>,</w:t>
      </w:r>
      <w:r w:rsidRPr="0011430E">
        <w:rPr>
          <w:sz w:val="26"/>
          <w:szCs w:val="26"/>
        </w:rPr>
        <w:t xml:space="preserve"> в тому числі оплата праці з нарахуваннями у сумі </w:t>
      </w:r>
      <w:r w:rsidR="000F53FF" w:rsidRPr="0011430E">
        <w:rPr>
          <w:sz w:val="26"/>
          <w:szCs w:val="26"/>
        </w:rPr>
        <w:t>5 124,0</w:t>
      </w:r>
      <w:r w:rsidRPr="0011430E">
        <w:rPr>
          <w:sz w:val="26"/>
          <w:szCs w:val="26"/>
        </w:rPr>
        <w:t xml:space="preserve"> тис. гривень</w:t>
      </w:r>
      <w:r w:rsidR="000F53FF" w:rsidRPr="0011430E">
        <w:rPr>
          <w:sz w:val="26"/>
          <w:szCs w:val="26"/>
        </w:rPr>
        <w:t>.</w:t>
      </w:r>
    </w:p>
    <w:p w:rsidR="000F53FF" w:rsidRPr="0011430E" w:rsidRDefault="000F53FF" w:rsidP="00F104D2">
      <w:pPr>
        <w:ind w:firstLine="567"/>
        <w:jc w:val="both"/>
        <w:rPr>
          <w:sz w:val="26"/>
          <w:szCs w:val="26"/>
        </w:rPr>
      </w:pPr>
      <w:r w:rsidRPr="0011430E">
        <w:rPr>
          <w:b/>
          <w:bCs/>
          <w:sz w:val="26"/>
          <w:szCs w:val="26"/>
        </w:rPr>
        <w:t>На забезпечення інших програм та заходів у сфері освіти</w:t>
      </w:r>
      <w:r w:rsidRPr="0011430E">
        <w:rPr>
          <w:sz w:val="26"/>
          <w:szCs w:val="26"/>
        </w:rPr>
        <w:t xml:space="preserve"> передбачено кошти по загальному фонду в сумі 102,5 тис. гривень.</w:t>
      </w:r>
      <w:bookmarkStart w:id="3" w:name="_GoBack"/>
      <w:bookmarkEnd w:id="3"/>
    </w:p>
    <w:p w:rsidR="00F308D2" w:rsidRPr="0011430E" w:rsidRDefault="00D24EB8" w:rsidP="00F104D2">
      <w:pPr>
        <w:ind w:firstLine="567"/>
        <w:jc w:val="both"/>
        <w:rPr>
          <w:sz w:val="26"/>
          <w:szCs w:val="26"/>
        </w:rPr>
      </w:pPr>
      <w:r w:rsidRPr="0011430E">
        <w:rPr>
          <w:b/>
          <w:bCs/>
          <w:sz w:val="26"/>
          <w:szCs w:val="26"/>
        </w:rPr>
        <w:t>На з</w:t>
      </w:r>
      <w:r w:rsidRPr="0011430E">
        <w:rPr>
          <w:b/>
          <w:sz w:val="26"/>
          <w:szCs w:val="26"/>
        </w:rPr>
        <w:t xml:space="preserve">абезпечення діяльності інклюзивно-ресурсних центрів </w:t>
      </w:r>
      <w:r w:rsidRPr="0011430E">
        <w:rPr>
          <w:bCs/>
          <w:sz w:val="26"/>
          <w:szCs w:val="26"/>
        </w:rPr>
        <w:t>передбачено</w:t>
      </w:r>
      <w:r w:rsidRPr="0011430E">
        <w:rPr>
          <w:sz w:val="26"/>
          <w:szCs w:val="26"/>
        </w:rPr>
        <w:t xml:space="preserve"> </w:t>
      </w:r>
      <w:r w:rsidRPr="0011430E">
        <w:rPr>
          <w:i/>
          <w:sz w:val="26"/>
          <w:szCs w:val="26"/>
        </w:rPr>
        <w:t>за рахунок коштів місцевого бюджету</w:t>
      </w:r>
      <w:r w:rsidRPr="0011430E">
        <w:rPr>
          <w:sz w:val="26"/>
          <w:szCs w:val="26"/>
        </w:rPr>
        <w:t xml:space="preserve"> у сумі 4</w:t>
      </w:r>
      <w:r w:rsidR="000F53FF" w:rsidRPr="0011430E">
        <w:rPr>
          <w:sz w:val="26"/>
          <w:szCs w:val="26"/>
        </w:rPr>
        <w:t>83,6</w:t>
      </w:r>
      <w:r w:rsidRPr="0011430E">
        <w:rPr>
          <w:sz w:val="26"/>
          <w:szCs w:val="26"/>
        </w:rPr>
        <w:t xml:space="preserve"> тис. гривень в тому числі оплата праці у сумі 2</w:t>
      </w:r>
      <w:r w:rsidR="000F53FF" w:rsidRPr="0011430E">
        <w:rPr>
          <w:sz w:val="26"/>
          <w:szCs w:val="26"/>
        </w:rPr>
        <w:t>75,0</w:t>
      </w:r>
      <w:r w:rsidRPr="0011430E">
        <w:rPr>
          <w:sz w:val="26"/>
          <w:szCs w:val="26"/>
        </w:rPr>
        <w:t xml:space="preserve"> тис. гривень, комунальні послуги та енергоносії у сумі 1</w:t>
      </w:r>
      <w:r w:rsidR="000F53FF" w:rsidRPr="0011430E">
        <w:rPr>
          <w:sz w:val="26"/>
          <w:szCs w:val="26"/>
        </w:rPr>
        <w:t>52,6</w:t>
      </w:r>
      <w:r w:rsidRPr="0011430E">
        <w:rPr>
          <w:sz w:val="26"/>
          <w:szCs w:val="26"/>
        </w:rPr>
        <w:t xml:space="preserve"> тис. гривень. </w:t>
      </w:r>
      <w:r w:rsidR="00F308D2" w:rsidRPr="0011430E">
        <w:rPr>
          <w:sz w:val="26"/>
          <w:szCs w:val="26"/>
        </w:rPr>
        <w:t xml:space="preserve">На забезпечення діяльності інклюзивно-ресурсних центрів </w:t>
      </w:r>
      <w:r w:rsidR="00F308D2" w:rsidRPr="0011430E">
        <w:rPr>
          <w:i/>
          <w:sz w:val="26"/>
          <w:szCs w:val="26"/>
        </w:rPr>
        <w:t>за рахунок субвенції з державного бюджету</w:t>
      </w:r>
      <w:r w:rsidR="00F308D2" w:rsidRPr="0011430E">
        <w:rPr>
          <w:sz w:val="26"/>
          <w:szCs w:val="26"/>
        </w:rPr>
        <w:t xml:space="preserve"> передбачено 1342,7 тис. гривень. Дані кошти будуть направлені на виплату заробітної плати з нарахуваннями педагогічним працівникам Комунального закладу «Інклюзивно-ресурсний центр» Тростянецької міської ради</w:t>
      </w:r>
      <w:r w:rsidR="0005573F" w:rsidRPr="0011430E">
        <w:rPr>
          <w:sz w:val="26"/>
          <w:szCs w:val="26"/>
        </w:rPr>
        <w:t xml:space="preserve"> на січень-серпень 2026 року</w:t>
      </w:r>
      <w:r w:rsidR="00F308D2" w:rsidRPr="0011430E">
        <w:rPr>
          <w:sz w:val="26"/>
          <w:szCs w:val="26"/>
        </w:rPr>
        <w:t>.</w:t>
      </w:r>
    </w:p>
    <w:p w:rsidR="00D24EB8" w:rsidRPr="0011430E" w:rsidRDefault="00D24EB8" w:rsidP="00F104D2">
      <w:pPr>
        <w:ind w:firstLine="567"/>
        <w:jc w:val="both"/>
        <w:rPr>
          <w:sz w:val="26"/>
          <w:szCs w:val="26"/>
        </w:rPr>
      </w:pPr>
      <w:r w:rsidRPr="0011430E">
        <w:rPr>
          <w:b/>
          <w:bCs/>
          <w:sz w:val="26"/>
          <w:szCs w:val="26"/>
        </w:rPr>
        <w:t>На забезпечення діяльності</w:t>
      </w:r>
      <w:r w:rsidRPr="0011430E">
        <w:rPr>
          <w:sz w:val="26"/>
          <w:szCs w:val="26"/>
        </w:rPr>
        <w:t xml:space="preserve"> </w:t>
      </w:r>
      <w:r w:rsidRPr="0011430E">
        <w:rPr>
          <w:b/>
          <w:sz w:val="26"/>
          <w:szCs w:val="26"/>
        </w:rPr>
        <w:t xml:space="preserve">Центру професійного розвитку педагогічних працівників </w:t>
      </w:r>
      <w:r w:rsidRPr="0011430E">
        <w:rPr>
          <w:bCs/>
          <w:sz w:val="26"/>
          <w:szCs w:val="26"/>
        </w:rPr>
        <w:t>передбачено</w:t>
      </w:r>
      <w:r w:rsidRPr="0011430E">
        <w:rPr>
          <w:sz w:val="26"/>
          <w:szCs w:val="26"/>
        </w:rPr>
        <w:t xml:space="preserve"> кошти в сумі 3</w:t>
      </w:r>
      <w:r w:rsidR="000F53FF" w:rsidRPr="0011430E">
        <w:rPr>
          <w:sz w:val="26"/>
          <w:szCs w:val="26"/>
        </w:rPr>
        <w:t>84</w:t>
      </w:r>
      <w:r w:rsidRPr="0011430E">
        <w:rPr>
          <w:sz w:val="26"/>
          <w:szCs w:val="26"/>
        </w:rPr>
        <w:t>,0 тис. гривень, з них на заробітну плату з нарахуваннями 3</w:t>
      </w:r>
      <w:r w:rsidR="000F53FF" w:rsidRPr="0011430E">
        <w:rPr>
          <w:sz w:val="26"/>
          <w:szCs w:val="26"/>
        </w:rPr>
        <w:t>77,0</w:t>
      </w:r>
      <w:r w:rsidRPr="0011430E">
        <w:rPr>
          <w:sz w:val="26"/>
          <w:szCs w:val="26"/>
        </w:rPr>
        <w:t xml:space="preserve"> тис. гривень.</w:t>
      </w:r>
    </w:p>
    <w:p w:rsidR="00D24EB8" w:rsidRPr="0011430E" w:rsidRDefault="00D24EB8" w:rsidP="00F104D2">
      <w:pPr>
        <w:ind w:firstLine="567"/>
        <w:jc w:val="both"/>
        <w:rPr>
          <w:sz w:val="26"/>
          <w:szCs w:val="26"/>
        </w:rPr>
      </w:pPr>
      <w:r w:rsidRPr="0011430E">
        <w:rPr>
          <w:b/>
          <w:sz w:val="26"/>
          <w:szCs w:val="26"/>
        </w:rPr>
        <w:t>На оздоровлення та відпочинок дітей</w:t>
      </w:r>
      <w:r w:rsidRPr="0011430E">
        <w:rPr>
          <w:sz w:val="26"/>
          <w:szCs w:val="26"/>
        </w:rPr>
        <w:t xml:space="preserve"> передбачено кошти в сумі </w:t>
      </w:r>
      <w:r w:rsidR="000F53FF" w:rsidRPr="0011430E">
        <w:rPr>
          <w:sz w:val="26"/>
          <w:szCs w:val="26"/>
        </w:rPr>
        <w:t>520</w:t>
      </w:r>
      <w:r w:rsidRPr="0011430E">
        <w:rPr>
          <w:sz w:val="26"/>
          <w:szCs w:val="26"/>
        </w:rPr>
        <w:t>,0 тис. гривень.</w:t>
      </w:r>
    </w:p>
    <w:p w:rsidR="00D24EB8" w:rsidRDefault="00D24EB8" w:rsidP="00D24EB8">
      <w:pPr>
        <w:ind w:firstLine="567"/>
        <w:jc w:val="both"/>
        <w:rPr>
          <w:sz w:val="26"/>
          <w:szCs w:val="26"/>
        </w:rPr>
      </w:pPr>
      <w:r w:rsidRPr="0011430E">
        <w:rPr>
          <w:b/>
          <w:bCs/>
          <w:sz w:val="26"/>
          <w:szCs w:val="26"/>
        </w:rPr>
        <w:lastRenderedPageBreak/>
        <w:t>На утримання</w:t>
      </w:r>
      <w:r w:rsidRPr="0011430E">
        <w:rPr>
          <w:b/>
          <w:sz w:val="26"/>
          <w:szCs w:val="26"/>
        </w:rPr>
        <w:t xml:space="preserve"> та навчально-тренувальна робота комунальних дитячо-юнацьких спортивних шкіл</w:t>
      </w:r>
      <w:r w:rsidRPr="0011430E">
        <w:rPr>
          <w:sz w:val="26"/>
          <w:szCs w:val="26"/>
        </w:rPr>
        <w:t xml:space="preserve"> у сумі 3</w:t>
      </w:r>
      <w:r w:rsidR="000F53FF" w:rsidRPr="0011430E">
        <w:rPr>
          <w:sz w:val="26"/>
          <w:szCs w:val="26"/>
        </w:rPr>
        <w:t> 581,4</w:t>
      </w:r>
      <w:r w:rsidRPr="0011430E">
        <w:rPr>
          <w:sz w:val="26"/>
          <w:szCs w:val="26"/>
        </w:rPr>
        <w:t xml:space="preserve"> тис. гривень, з них оплата праці з нарахуванням у сумі 2</w:t>
      </w:r>
      <w:r w:rsidR="000F53FF" w:rsidRPr="0011430E">
        <w:rPr>
          <w:sz w:val="26"/>
          <w:szCs w:val="26"/>
        </w:rPr>
        <w:t> 671,0</w:t>
      </w:r>
      <w:r w:rsidRPr="0011430E">
        <w:rPr>
          <w:sz w:val="26"/>
          <w:szCs w:val="26"/>
        </w:rPr>
        <w:t xml:space="preserve"> тис. гривень, комунальні послуги та енергоносії у сумі </w:t>
      </w:r>
      <w:r w:rsidR="000F53FF" w:rsidRPr="0011430E">
        <w:rPr>
          <w:sz w:val="26"/>
          <w:szCs w:val="26"/>
        </w:rPr>
        <w:t>425,4</w:t>
      </w:r>
      <w:r w:rsidRPr="0011430E">
        <w:rPr>
          <w:sz w:val="26"/>
          <w:szCs w:val="26"/>
        </w:rPr>
        <w:t xml:space="preserve"> тис. гривень.</w:t>
      </w:r>
    </w:p>
    <w:p w:rsidR="00017D09" w:rsidRPr="0011430E" w:rsidRDefault="00017D09" w:rsidP="00D24EB8">
      <w:pPr>
        <w:ind w:firstLine="567"/>
        <w:jc w:val="both"/>
        <w:rPr>
          <w:sz w:val="26"/>
          <w:szCs w:val="26"/>
        </w:rPr>
      </w:pPr>
    </w:p>
    <w:p w:rsidR="00F57AE9" w:rsidRPr="0011430E" w:rsidRDefault="00986136" w:rsidP="0011430E">
      <w:pPr>
        <w:ind w:firstLine="567"/>
        <w:jc w:val="both"/>
        <w:rPr>
          <w:sz w:val="26"/>
          <w:szCs w:val="26"/>
        </w:rPr>
      </w:pPr>
      <w:r w:rsidRPr="0011430E">
        <w:rPr>
          <w:b/>
          <w:bCs/>
          <w:sz w:val="26"/>
          <w:szCs w:val="26"/>
        </w:rPr>
        <w:t xml:space="preserve">Обсяг публічних інвестицій на 2026 рік заплановано в сумі </w:t>
      </w:r>
      <w:r w:rsidR="0060242F" w:rsidRPr="0011430E">
        <w:rPr>
          <w:b/>
          <w:bCs/>
          <w:sz w:val="26"/>
          <w:szCs w:val="26"/>
        </w:rPr>
        <w:t xml:space="preserve">743,0 тис. гривень, </w:t>
      </w:r>
      <w:r w:rsidR="0060242F" w:rsidRPr="0011430E">
        <w:rPr>
          <w:sz w:val="26"/>
          <w:szCs w:val="26"/>
        </w:rPr>
        <w:t>з них на придбання мультимедійного обладнання НУШ - 200,0 тис. гривень; ПКД на «Нове будівництво споруди подвійного призначення (захисними властивостями протирадіаційного укриття)» Ліцей № 2 – 423</w:t>
      </w:r>
      <w:r w:rsidR="00D30392">
        <w:rPr>
          <w:sz w:val="26"/>
          <w:szCs w:val="26"/>
        </w:rPr>
        <w:t>,0</w:t>
      </w:r>
      <w:r w:rsidR="0060242F" w:rsidRPr="0011430E">
        <w:rPr>
          <w:sz w:val="26"/>
          <w:szCs w:val="26"/>
        </w:rPr>
        <w:t xml:space="preserve"> тис. гривень; ПКД «Будівництво протипожежної сигналізації» - 12</w:t>
      </w:r>
      <w:r w:rsidR="00F57AE9" w:rsidRPr="0011430E">
        <w:rPr>
          <w:sz w:val="26"/>
          <w:szCs w:val="26"/>
        </w:rPr>
        <w:t>0</w:t>
      </w:r>
      <w:r w:rsidR="0060242F" w:rsidRPr="0011430E">
        <w:rPr>
          <w:sz w:val="26"/>
          <w:szCs w:val="26"/>
        </w:rPr>
        <w:t>,0 тис. гривень</w:t>
      </w:r>
      <w:r w:rsidR="00F57AE9" w:rsidRPr="0011430E">
        <w:rPr>
          <w:sz w:val="26"/>
          <w:szCs w:val="26"/>
        </w:rPr>
        <w:t>; ПКД "Нове будівництво резервної модульної транспортабельної теплогенераторної котельні</w:t>
      </w:r>
      <w:r w:rsidR="00D30392">
        <w:rPr>
          <w:sz w:val="26"/>
          <w:szCs w:val="26"/>
        </w:rPr>
        <w:t xml:space="preserve"> по вулиці </w:t>
      </w:r>
      <w:r w:rsidR="00F57AE9" w:rsidRPr="0011430E">
        <w:rPr>
          <w:sz w:val="26"/>
          <w:szCs w:val="26"/>
        </w:rPr>
        <w:t xml:space="preserve"> Вознесенська, 2</w:t>
      </w:r>
      <w:r w:rsidR="005E435C">
        <w:rPr>
          <w:sz w:val="26"/>
          <w:szCs w:val="26"/>
        </w:rPr>
        <w:t>»</w:t>
      </w:r>
      <w:r w:rsidR="00F57AE9" w:rsidRPr="0011430E">
        <w:rPr>
          <w:sz w:val="26"/>
          <w:szCs w:val="26"/>
        </w:rPr>
        <w:t xml:space="preserve"> – 200,0 тис. гривень.</w:t>
      </w:r>
    </w:p>
    <w:p w:rsidR="00FE2074" w:rsidRPr="0011430E" w:rsidRDefault="00FE2074" w:rsidP="00D24EB8">
      <w:pPr>
        <w:ind w:firstLine="567"/>
        <w:jc w:val="both"/>
        <w:rPr>
          <w:sz w:val="26"/>
          <w:szCs w:val="26"/>
        </w:rPr>
      </w:pPr>
    </w:p>
    <w:p w:rsidR="00D24EB8" w:rsidRPr="0011430E" w:rsidRDefault="00D24EB8" w:rsidP="00D24EB8">
      <w:pPr>
        <w:jc w:val="center"/>
        <w:rPr>
          <w:b/>
          <w:sz w:val="26"/>
          <w:szCs w:val="26"/>
          <w:u w:val="single"/>
        </w:rPr>
      </w:pPr>
      <w:r w:rsidRPr="0011430E">
        <w:rPr>
          <w:b/>
          <w:sz w:val="26"/>
          <w:szCs w:val="26"/>
          <w:u w:val="single"/>
        </w:rPr>
        <w:t>Головний розпорядних «Соціальний захист населення»</w:t>
      </w:r>
    </w:p>
    <w:p w:rsidR="00D24EB8" w:rsidRPr="0011430E" w:rsidRDefault="00D24EB8" w:rsidP="00D24EB8">
      <w:pPr>
        <w:ind w:left="426"/>
        <w:jc w:val="center"/>
        <w:rPr>
          <w:b/>
          <w:sz w:val="26"/>
          <w:szCs w:val="26"/>
          <w:u w:val="single"/>
        </w:rPr>
      </w:pPr>
    </w:p>
    <w:p w:rsidR="00D24EB8" w:rsidRPr="0011430E" w:rsidRDefault="00D24EB8" w:rsidP="00D24EB8">
      <w:pPr>
        <w:ind w:firstLine="567"/>
        <w:jc w:val="both"/>
        <w:rPr>
          <w:b/>
          <w:sz w:val="26"/>
          <w:szCs w:val="26"/>
        </w:rPr>
      </w:pPr>
      <w:r w:rsidRPr="0011430E">
        <w:rPr>
          <w:sz w:val="26"/>
          <w:szCs w:val="26"/>
        </w:rPr>
        <w:t>У бюджеті</w:t>
      </w:r>
      <w:r w:rsidRPr="0011430E">
        <w:rPr>
          <w:b/>
          <w:sz w:val="26"/>
          <w:szCs w:val="26"/>
        </w:rPr>
        <w:t xml:space="preserve"> </w:t>
      </w:r>
      <w:r w:rsidRPr="0011430E">
        <w:rPr>
          <w:bCs/>
          <w:sz w:val="26"/>
          <w:szCs w:val="26"/>
        </w:rPr>
        <w:t>Тростянецької міської територіальної громади на</w:t>
      </w:r>
      <w:r w:rsidRPr="0011430E">
        <w:rPr>
          <w:sz w:val="26"/>
          <w:szCs w:val="26"/>
        </w:rPr>
        <w:t xml:space="preserve"> 202</w:t>
      </w:r>
      <w:r w:rsidR="004923FD" w:rsidRPr="0011430E">
        <w:rPr>
          <w:sz w:val="26"/>
          <w:szCs w:val="26"/>
        </w:rPr>
        <w:t>6</w:t>
      </w:r>
      <w:r w:rsidRPr="0011430E">
        <w:rPr>
          <w:sz w:val="26"/>
          <w:szCs w:val="26"/>
        </w:rPr>
        <w:t xml:space="preserve"> рік видатки по головному розпоряднику соціальний захист та соціальне забезпечення передбачені кошти у сумі </w:t>
      </w:r>
      <w:r w:rsidR="00FE18DF" w:rsidRPr="0011430E">
        <w:rPr>
          <w:sz w:val="26"/>
          <w:szCs w:val="26"/>
        </w:rPr>
        <w:t>15 400,5</w:t>
      </w:r>
      <w:r w:rsidRPr="0011430E">
        <w:rPr>
          <w:sz w:val="26"/>
          <w:szCs w:val="26"/>
        </w:rPr>
        <w:t xml:space="preserve"> тис. гривень, в тому числі заробітна плата з нарахуванням </w:t>
      </w:r>
      <w:r w:rsidR="004923FD" w:rsidRPr="0011430E">
        <w:rPr>
          <w:sz w:val="26"/>
          <w:szCs w:val="26"/>
        </w:rPr>
        <w:t>7 541,4</w:t>
      </w:r>
      <w:r w:rsidRPr="0011430E">
        <w:rPr>
          <w:sz w:val="26"/>
          <w:szCs w:val="26"/>
        </w:rPr>
        <w:t xml:space="preserve"> тис. гривень, комуна</w:t>
      </w:r>
      <w:r w:rsidR="003C706F" w:rsidRPr="0011430E">
        <w:rPr>
          <w:sz w:val="26"/>
          <w:szCs w:val="26"/>
        </w:rPr>
        <w:t xml:space="preserve">льні послуги </w:t>
      </w:r>
      <w:r w:rsidR="004923FD" w:rsidRPr="0011430E">
        <w:rPr>
          <w:sz w:val="26"/>
          <w:szCs w:val="26"/>
        </w:rPr>
        <w:t>506,9</w:t>
      </w:r>
      <w:r w:rsidR="003C706F" w:rsidRPr="0011430E">
        <w:rPr>
          <w:sz w:val="26"/>
          <w:szCs w:val="26"/>
        </w:rPr>
        <w:t xml:space="preserve"> тис. гривень, </w:t>
      </w:r>
      <w:r w:rsidRPr="0011430E">
        <w:rPr>
          <w:sz w:val="26"/>
          <w:szCs w:val="26"/>
        </w:rPr>
        <w:t>спеціальн</w:t>
      </w:r>
      <w:r w:rsidR="003C706F" w:rsidRPr="0011430E">
        <w:rPr>
          <w:sz w:val="26"/>
          <w:szCs w:val="26"/>
        </w:rPr>
        <w:t>ий</w:t>
      </w:r>
      <w:r w:rsidRPr="0011430E">
        <w:rPr>
          <w:sz w:val="26"/>
          <w:szCs w:val="26"/>
        </w:rPr>
        <w:t xml:space="preserve"> фонд </w:t>
      </w:r>
      <w:r w:rsidR="00FE18DF" w:rsidRPr="0011430E">
        <w:rPr>
          <w:sz w:val="26"/>
          <w:szCs w:val="26"/>
        </w:rPr>
        <w:t>315,</w:t>
      </w:r>
      <w:r w:rsidRPr="0011430E">
        <w:rPr>
          <w:sz w:val="26"/>
          <w:szCs w:val="26"/>
        </w:rPr>
        <w:t>0 тис. гривень</w:t>
      </w:r>
      <w:r w:rsidR="003C706F" w:rsidRPr="0011430E">
        <w:rPr>
          <w:sz w:val="26"/>
          <w:szCs w:val="26"/>
        </w:rPr>
        <w:t xml:space="preserve"> (платні послуги)</w:t>
      </w:r>
      <w:r w:rsidRPr="0011430E">
        <w:rPr>
          <w:sz w:val="26"/>
          <w:szCs w:val="26"/>
        </w:rPr>
        <w:t>.</w:t>
      </w:r>
    </w:p>
    <w:p w:rsidR="00D24EB8" w:rsidRPr="0011430E" w:rsidRDefault="00D24EB8" w:rsidP="00D24EB8">
      <w:pPr>
        <w:ind w:firstLine="567"/>
        <w:jc w:val="both"/>
        <w:rPr>
          <w:sz w:val="26"/>
          <w:szCs w:val="26"/>
        </w:rPr>
      </w:pPr>
      <w:r w:rsidRPr="0011430E">
        <w:rPr>
          <w:b/>
          <w:sz w:val="26"/>
          <w:szCs w:val="26"/>
        </w:rPr>
        <w:t xml:space="preserve">Апарат відділу соціального захисту населення </w:t>
      </w:r>
      <w:r w:rsidRPr="0011430E">
        <w:rPr>
          <w:sz w:val="26"/>
          <w:szCs w:val="26"/>
        </w:rPr>
        <w:t>затверджено кошти у сумі 1</w:t>
      </w:r>
      <w:r w:rsidR="00FE18DF" w:rsidRPr="0011430E">
        <w:rPr>
          <w:sz w:val="26"/>
          <w:szCs w:val="26"/>
        </w:rPr>
        <w:t xml:space="preserve"> </w:t>
      </w:r>
      <w:r w:rsidR="004923FD" w:rsidRPr="0011430E">
        <w:rPr>
          <w:sz w:val="26"/>
          <w:szCs w:val="26"/>
        </w:rPr>
        <w:t>697,6</w:t>
      </w:r>
      <w:r w:rsidRPr="0011430E">
        <w:rPr>
          <w:sz w:val="26"/>
          <w:szCs w:val="26"/>
        </w:rPr>
        <w:t xml:space="preserve"> тис. гривень</w:t>
      </w:r>
      <w:r w:rsidR="003C706F" w:rsidRPr="0011430E">
        <w:rPr>
          <w:sz w:val="26"/>
          <w:szCs w:val="26"/>
        </w:rPr>
        <w:t>,</w:t>
      </w:r>
      <w:r w:rsidRPr="0011430E">
        <w:rPr>
          <w:sz w:val="26"/>
          <w:szCs w:val="26"/>
        </w:rPr>
        <w:t xml:space="preserve"> в тому числі оплата праці з нарахуванням у сумі 1</w:t>
      </w:r>
      <w:r w:rsidR="00FE18DF" w:rsidRPr="0011430E">
        <w:rPr>
          <w:sz w:val="26"/>
          <w:szCs w:val="26"/>
        </w:rPr>
        <w:t xml:space="preserve"> </w:t>
      </w:r>
      <w:r w:rsidR="004923FD" w:rsidRPr="0011430E">
        <w:rPr>
          <w:sz w:val="26"/>
          <w:szCs w:val="26"/>
        </w:rPr>
        <w:t>552,8</w:t>
      </w:r>
      <w:r w:rsidRPr="0011430E">
        <w:rPr>
          <w:sz w:val="26"/>
          <w:szCs w:val="26"/>
        </w:rPr>
        <w:t xml:space="preserve"> тис. гривень, комунальні послуги та енергоносії у сумі </w:t>
      </w:r>
      <w:r w:rsidR="004923FD" w:rsidRPr="0011430E">
        <w:rPr>
          <w:sz w:val="26"/>
          <w:szCs w:val="26"/>
        </w:rPr>
        <w:t>89,9</w:t>
      </w:r>
      <w:r w:rsidRPr="0011430E">
        <w:rPr>
          <w:sz w:val="26"/>
          <w:szCs w:val="26"/>
        </w:rPr>
        <w:t xml:space="preserve"> тис. гривень.</w:t>
      </w:r>
    </w:p>
    <w:p w:rsidR="00D24EB8" w:rsidRPr="0011430E" w:rsidRDefault="00D24EB8" w:rsidP="00D24EB8">
      <w:pPr>
        <w:ind w:firstLine="567"/>
        <w:jc w:val="both"/>
        <w:rPr>
          <w:sz w:val="26"/>
          <w:szCs w:val="26"/>
        </w:rPr>
      </w:pPr>
      <w:r w:rsidRPr="0011430E">
        <w:rPr>
          <w:b/>
          <w:sz w:val="26"/>
          <w:szCs w:val="26"/>
        </w:rPr>
        <w:t>Надання інших пільг окремим категоріям громадян відповідно до законодавства</w:t>
      </w:r>
      <w:r w:rsidRPr="0011430E">
        <w:rPr>
          <w:sz w:val="26"/>
          <w:szCs w:val="26"/>
        </w:rPr>
        <w:t xml:space="preserve"> в сумі 5,</w:t>
      </w:r>
      <w:r w:rsidR="004923FD" w:rsidRPr="0011430E">
        <w:rPr>
          <w:sz w:val="26"/>
          <w:szCs w:val="26"/>
        </w:rPr>
        <w:t>2</w:t>
      </w:r>
      <w:r w:rsidRPr="0011430E">
        <w:rPr>
          <w:sz w:val="26"/>
          <w:szCs w:val="26"/>
        </w:rPr>
        <w:t xml:space="preserve"> тис. гривень.</w:t>
      </w:r>
    </w:p>
    <w:p w:rsidR="00D24EB8" w:rsidRPr="0011430E" w:rsidRDefault="00D24EB8" w:rsidP="00D24EB8">
      <w:pPr>
        <w:ind w:firstLine="567"/>
        <w:jc w:val="both"/>
        <w:rPr>
          <w:sz w:val="26"/>
          <w:szCs w:val="26"/>
        </w:rPr>
      </w:pPr>
      <w:r w:rsidRPr="0011430E">
        <w:rPr>
          <w:b/>
          <w:sz w:val="26"/>
          <w:szCs w:val="26"/>
        </w:rPr>
        <w:t xml:space="preserve">Надання пільг окремим категоріям громадян з оплати послуг зв’язку </w:t>
      </w:r>
      <w:r w:rsidRPr="0011430E">
        <w:rPr>
          <w:sz w:val="26"/>
          <w:szCs w:val="26"/>
        </w:rPr>
        <w:t xml:space="preserve">в сумі </w:t>
      </w:r>
      <w:r w:rsidR="004923FD" w:rsidRPr="0011430E">
        <w:rPr>
          <w:sz w:val="26"/>
          <w:szCs w:val="26"/>
        </w:rPr>
        <w:t>23,6</w:t>
      </w:r>
      <w:r w:rsidRPr="0011430E">
        <w:rPr>
          <w:sz w:val="26"/>
          <w:szCs w:val="26"/>
        </w:rPr>
        <w:t xml:space="preserve"> тис. гривень.</w:t>
      </w:r>
    </w:p>
    <w:p w:rsidR="00D24EB8" w:rsidRPr="0011430E" w:rsidRDefault="00D24EB8" w:rsidP="00D24EB8">
      <w:pPr>
        <w:ind w:firstLine="567"/>
        <w:jc w:val="both"/>
        <w:rPr>
          <w:sz w:val="26"/>
          <w:szCs w:val="26"/>
        </w:rPr>
      </w:pPr>
      <w:r w:rsidRPr="0011430E">
        <w:rPr>
          <w:b/>
          <w:sz w:val="26"/>
          <w:szCs w:val="26"/>
        </w:rPr>
        <w:t>Компенсаційні виплати на пільговий проїзд автомобільним транспортом</w:t>
      </w:r>
      <w:r w:rsidRPr="0011430E">
        <w:rPr>
          <w:sz w:val="26"/>
          <w:szCs w:val="26"/>
        </w:rPr>
        <w:t xml:space="preserve"> у сумі </w:t>
      </w:r>
      <w:r w:rsidR="004923FD" w:rsidRPr="0011430E">
        <w:rPr>
          <w:sz w:val="26"/>
          <w:szCs w:val="26"/>
        </w:rPr>
        <w:t xml:space="preserve">3 435,0 </w:t>
      </w:r>
      <w:r w:rsidRPr="0011430E">
        <w:rPr>
          <w:sz w:val="26"/>
          <w:szCs w:val="26"/>
        </w:rPr>
        <w:t>тис. гривень.</w:t>
      </w:r>
    </w:p>
    <w:p w:rsidR="00D24EB8" w:rsidRPr="0011430E" w:rsidRDefault="00D24EB8" w:rsidP="00D24EB8">
      <w:pPr>
        <w:ind w:firstLine="567"/>
        <w:jc w:val="both"/>
        <w:rPr>
          <w:sz w:val="26"/>
          <w:szCs w:val="26"/>
        </w:rPr>
      </w:pPr>
      <w:r w:rsidRPr="0011430E">
        <w:rPr>
          <w:b/>
          <w:bCs/>
          <w:sz w:val="26"/>
          <w:szCs w:val="26"/>
        </w:rPr>
        <w:t xml:space="preserve">Видатки на поховання учасників бойових дій та осіб з інвалідністю внаслідок війни </w:t>
      </w:r>
      <w:r w:rsidRPr="0011430E">
        <w:rPr>
          <w:sz w:val="26"/>
          <w:szCs w:val="26"/>
        </w:rPr>
        <w:t xml:space="preserve">затверджено кошти в сумі </w:t>
      </w:r>
      <w:r w:rsidR="004923FD" w:rsidRPr="0011430E">
        <w:rPr>
          <w:sz w:val="26"/>
          <w:szCs w:val="26"/>
        </w:rPr>
        <w:t xml:space="preserve">325,0 </w:t>
      </w:r>
      <w:r w:rsidRPr="0011430E">
        <w:rPr>
          <w:sz w:val="26"/>
          <w:szCs w:val="26"/>
        </w:rPr>
        <w:t>тис. гривень.</w:t>
      </w:r>
    </w:p>
    <w:p w:rsidR="00420337" w:rsidRPr="0011430E" w:rsidRDefault="00420337" w:rsidP="00420337">
      <w:pPr>
        <w:ind w:firstLine="567"/>
        <w:jc w:val="both"/>
        <w:rPr>
          <w:sz w:val="26"/>
          <w:szCs w:val="26"/>
        </w:rPr>
      </w:pPr>
      <w:r w:rsidRPr="0011430E">
        <w:rPr>
          <w:b/>
          <w:bCs/>
          <w:sz w:val="26"/>
          <w:szCs w:val="26"/>
        </w:rPr>
        <w:t xml:space="preserve">На 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 </w:t>
      </w:r>
      <w:r w:rsidRPr="0011430E">
        <w:rPr>
          <w:sz w:val="26"/>
          <w:szCs w:val="26"/>
        </w:rPr>
        <w:t>передбачено видатки в сумі 6</w:t>
      </w:r>
      <w:r w:rsidR="00FE18DF" w:rsidRPr="0011430E">
        <w:rPr>
          <w:sz w:val="26"/>
          <w:szCs w:val="26"/>
        </w:rPr>
        <w:t> 779,9</w:t>
      </w:r>
      <w:r w:rsidRPr="0011430E">
        <w:rPr>
          <w:sz w:val="26"/>
          <w:szCs w:val="26"/>
        </w:rPr>
        <w:t xml:space="preserve"> тис. гривень, у тому числі оплата праці з нарахуванням у сумі 5754,0 тис. гривень, комунальні послуги та енергоносії у сумі 283,0 тис. гривень; по спеціальному фонду затверджено кошти в сумі </w:t>
      </w:r>
      <w:r w:rsidR="00FE18DF" w:rsidRPr="0011430E">
        <w:rPr>
          <w:sz w:val="26"/>
          <w:szCs w:val="26"/>
        </w:rPr>
        <w:t>315</w:t>
      </w:r>
      <w:r w:rsidRPr="0011430E">
        <w:rPr>
          <w:sz w:val="26"/>
          <w:szCs w:val="26"/>
        </w:rPr>
        <w:t>,0 тис. гривень (платні послуги).</w:t>
      </w:r>
    </w:p>
    <w:p w:rsidR="00D24EB8" w:rsidRPr="0011430E" w:rsidRDefault="00420337" w:rsidP="00D24EB8">
      <w:pPr>
        <w:ind w:firstLine="567"/>
        <w:jc w:val="both"/>
        <w:rPr>
          <w:sz w:val="26"/>
          <w:szCs w:val="26"/>
        </w:rPr>
      </w:pPr>
      <w:r w:rsidRPr="0011430E">
        <w:rPr>
          <w:b/>
          <w:bCs/>
          <w:sz w:val="26"/>
          <w:szCs w:val="26"/>
        </w:rPr>
        <w:t>На розвиток та надання послуг</w:t>
      </w:r>
      <w:r w:rsidR="00D24EB8" w:rsidRPr="0011430E">
        <w:rPr>
          <w:b/>
          <w:bCs/>
          <w:sz w:val="26"/>
          <w:szCs w:val="26"/>
        </w:rPr>
        <w:t xml:space="preserve"> спеціалізовани</w:t>
      </w:r>
      <w:r w:rsidRPr="0011430E">
        <w:rPr>
          <w:b/>
          <w:bCs/>
          <w:sz w:val="26"/>
          <w:szCs w:val="26"/>
        </w:rPr>
        <w:t>ми</w:t>
      </w:r>
      <w:r w:rsidR="00D24EB8" w:rsidRPr="0011430E">
        <w:rPr>
          <w:b/>
          <w:bCs/>
          <w:sz w:val="26"/>
          <w:szCs w:val="26"/>
        </w:rPr>
        <w:t xml:space="preserve"> служб</w:t>
      </w:r>
      <w:r w:rsidRPr="0011430E">
        <w:rPr>
          <w:b/>
          <w:bCs/>
          <w:sz w:val="26"/>
          <w:szCs w:val="26"/>
        </w:rPr>
        <w:t>ами</w:t>
      </w:r>
      <w:r w:rsidR="00D24EB8" w:rsidRPr="0011430E">
        <w:rPr>
          <w:b/>
          <w:bCs/>
          <w:sz w:val="26"/>
          <w:szCs w:val="26"/>
        </w:rPr>
        <w:t xml:space="preserve"> підтримки осіб, які постраждали від домашнього насильства та/або насильства за ознакою статі</w:t>
      </w:r>
      <w:r w:rsidR="00D24EB8" w:rsidRPr="0011430E">
        <w:rPr>
          <w:sz w:val="26"/>
          <w:szCs w:val="26"/>
        </w:rPr>
        <w:t xml:space="preserve"> у сумі 3</w:t>
      </w:r>
      <w:r w:rsidRPr="0011430E">
        <w:rPr>
          <w:sz w:val="26"/>
          <w:szCs w:val="26"/>
        </w:rPr>
        <w:t>84,1</w:t>
      </w:r>
      <w:r w:rsidR="00D24EB8" w:rsidRPr="0011430E">
        <w:rPr>
          <w:sz w:val="26"/>
          <w:szCs w:val="26"/>
        </w:rPr>
        <w:t xml:space="preserve"> тис. гривень, у тому числі оплата праці з нарахуванням у сумі </w:t>
      </w:r>
      <w:r w:rsidRPr="0011430E">
        <w:rPr>
          <w:sz w:val="26"/>
          <w:szCs w:val="26"/>
        </w:rPr>
        <w:t>234,6</w:t>
      </w:r>
      <w:r w:rsidR="00D24EB8" w:rsidRPr="0011430E">
        <w:rPr>
          <w:sz w:val="26"/>
          <w:szCs w:val="26"/>
        </w:rPr>
        <w:t xml:space="preserve"> тис. гривень, комунальні послуги та енергоносії у сумі </w:t>
      </w:r>
      <w:r w:rsidRPr="0011430E">
        <w:rPr>
          <w:sz w:val="26"/>
          <w:szCs w:val="26"/>
        </w:rPr>
        <w:t>134,0</w:t>
      </w:r>
      <w:r w:rsidR="00D24EB8" w:rsidRPr="0011430E">
        <w:rPr>
          <w:sz w:val="26"/>
          <w:szCs w:val="26"/>
        </w:rPr>
        <w:t xml:space="preserve"> тис. гривень;</w:t>
      </w:r>
    </w:p>
    <w:p w:rsidR="00D24EB8" w:rsidRPr="0011430E" w:rsidRDefault="00834DCB" w:rsidP="00D24EB8">
      <w:pPr>
        <w:ind w:firstLine="567"/>
        <w:jc w:val="both"/>
        <w:rPr>
          <w:sz w:val="26"/>
          <w:szCs w:val="26"/>
        </w:rPr>
      </w:pPr>
      <w:r>
        <w:rPr>
          <w:b/>
          <w:sz w:val="26"/>
          <w:szCs w:val="26"/>
        </w:rPr>
        <w:t>На н</w:t>
      </w:r>
      <w:r w:rsidR="00D24EB8" w:rsidRPr="0011430E">
        <w:rPr>
          <w:b/>
          <w:sz w:val="26"/>
          <w:szCs w:val="26"/>
        </w:rPr>
        <w:t xml:space="preserve">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834DCB">
        <w:rPr>
          <w:bCs/>
          <w:sz w:val="26"/>
          <w:szCs w:val="26"/>
        </w:rPr>
        <w:t>затверджено кошти в сумі</w:t>
      </w:r>
      <w:r w:rsidR="003C706F" w:rsidRPr="0011430E">
        <w:rPr>
          <w:sz w:val="26"/>
          <w:szCs w:val="26"/>
        </w:rPr>
        <w:t xml:space="preserve"> </w:t>
      </w:r>
      <w:r w:rsidR="00420337" w:rsidRPr="0011430E">
        <w:rPr>
          <w:sz w:val="26"/>
          <w:szCs w:val="26"/>
        </w:rPr>
        <w:t>5</w:t>
      </w:r>
      <w:r w:rsidR="00D24EB8" w:rsidRPr="0011430E">
        <w:rPr>
          <w:sz w:val="26"/>
          <w:szCs w:val="26"/>
        </w:rPr>
        <w:t>00,0 тис. гривень.</w:t>
      </w:r>
    </w:p>
    <w:p w:rsidR="008F3998" w:rsidRDefault="00834DCB" w:rsidP="00A57765">
      <w:pPr>
        <w:ind w:firstLine="567"/>
        <w:jc w:val="both"/>
        <w:rPr>
          <w:sz w:val="26"/>
          <w:szCs w:val="26"/>
        </w:rPr>
      </w:pPr>
      <w:r>
        <w:rPr>
          <w:b/>
          <w:sz w:val="26"/>
          <w:szCs w:val="26"/>
        </w:rPr>
        <w:t>На і</w:t>
      </w:r>
      <w:r w:rsidR="00D24EB8" w:rsidRPr="0011430E">
        <w:rPr>
          <w:b/>
          <w:sz w:val="26"/>
          <w:szCs w:val="26"/>
        </w:rPr>
        <w:t>нші заходи у сфері соціального захисту і соціального забезпечення</w:t>
      </w:r>
      <w:r>
        <w:rPr>
          <w:b/>
          <w:sz w:val="26"/>
          <w:szCs w:val="26"/>
        </w:rPr>
        <w:t xml:space="preserve"> </w:t>
      </w:r>
      <w:r w:rsidRPr="00834DCB">
        <w:rPr>
          <w:bCs/>
          <w:sz w:val="26"/>
          <w:szCs w:val="26"/>
        </w:rPr>
        <w:t>затверджено кошти</w:t>
      </w:r>
      <w:r w:rsidR="00D24EB8" w:rsidRPr="0011430E">
        <w:rPr>
          <w:sz w:val="26"/>
          <w:szCs w:val="26"/>
        </w:rPr>
        <w:t xml:space="preserve"> у сумі </w:t>
      </w:r>
      <w:r w:rsidR="008458A4" w:rsidRPr="0011430E">
        <w:rPr>
          <w:sz w:val="26"/>
          <w:szCs w:val="26"/>
        </w:rPr>
        <w:t>1250</w:t>
      </w:r>
      <w:r w:rsidR="00D24EB8" w:rsidRPr="0011430E">
        <w:rPr>
          <w:sz w:val="26"/>
          <w:szCs w:val="26"/>
        </w:rPr>
        <w:t xml:space="preserve">,0 тис. гривень, з них на виплати матеріальної </w:t>
      </w:r>
      <w:r w:rsidR="00D24EB8" w:rsidRPr="0011430E">
        <w:rPr>
          <w:sz w:val="26"/>
          <w:szCs w:val="26"/>
        </w:rPr>
        <w:lastRenderedPageBreak/>
        <w:t>допомоги на</w:t>
      </w:r>
      <w:r w:rsidR="00014138">
        <w:rPr>
          <w:sz w:val="26"/>
          <w:szCs w:val="26"/>
        </w:rPr>
        <w:t xml:space="preserve"> </w:t>
      </w:r>
      <w:r w:rsidR="00D24EB8" w:rsidRPr="0011430E">
        <w:rPr>
          <w:sz w:val="26"/>
          <w:szCs w:val="26"/>
        </w:rPr>
        <w:t xml:space="preserve"> гемодіаліз – 24,0 тис. гривень,</w:t>
      </w:r>
      <w:r w:rsidR="00014138">
        <w:rPr>
          <w:sz w:val="26"/>
          <w:szCs w:val="26"/>
        </w:rPr>
        <w:t xml:space="preserve"> на</w:t>
      </w:r>
      <w:r w:rsidR="00D24EB8" w:rsidRPr="0011430E">
        <w:rPr>
          <w:sz w:val="26"/>
          <w:szCs w:val="26"/>
        </w:rPr>
        <w:t xml:space="preserve"> поховання непрацюючих громадян – 3</w:t>
      </w:r>
      <w:r w:rsidR="00F90BEC" w:rsidRPr="0011430E">
        <w:rPr>
          <w:sz w:val="26"/>
          <w:szCs w:val="26"/>
        </w:rPr>
        <w:t>2</w:t>
      </w:r>
      <w:r w:rsidR="00D24EB8" w:rsidRPr="0011430E">
        <w:rPr>
          <w:sz w:val="26"/>
          <w:szCs w:val="26"/>
        </w:rPr>
        <w:t>,0 тис. гривень,</w:t>
      </w:r>
      <w:r w:rsidR="00014138">
        <w:rPr>
          <w:sz w:val="26"/>
          <w:szCs w:val="26"/>
        </w:rPr>
        <w:t xml:space="preserve"> на</w:t>
      </w:r>
      <w:r w:rsidR="00D24EB8" w:rsidRPr="0011430E">
        <w:rPr>
          <w:sz w:val="26"/>
          <w:szCs w:val="26"/>
        </w:rPr>
        <w:t xml:space="preserve"> </w:t>
      </w:r>
      <w:r w:rsidR="003C706F" w:rsidRPr="0011430E">
        <w:rPr>
          <w:sz w:val="26"/>
          <w:szCs w:val="26"/>
        </w:rPr>
        <w:t xml:space="preserve">надання матеріальної допомоги жителям громади, що опинилися в </w:t>
      </w:r>
      <w:r w:rsidR="00D24EB8" w:rsidRPr="0011430E">
        <w:rPr>
          <w:sz w:val="26"/>
          <w:szCs w:val="26"/>
        </w:rPr>
        <w:t>складн</w:t>
      </w:r>
      <w:r w:rsidR="003C706F" w:rsidRPr="0011430E">
        <w:rPr>
          <w:sz w:val="26"/>
          <w:szCs w:val="26"/>
        </w:rPr>
        <w:t>их</w:t>
      </w:r>
      <w:r w:rsidR="00D24EB8" w:rsidRPr="0011430E">
        <w:rPr>
          <w:sz w:val="26"/>
          <w:szCs w:val="26"/>
        </w:rPr>
        <w:t xml:space="preserve"> життєв</w:t>
      </w:r>
      <w:r w:rsidR="003C706F" w:rsidRPr="0011430E">
        <w:rPr>
          <w:sz w:val="26"/>
          <w:szCs w:val="26"/>
        </w:rPr>
        <w:t>их</w:t>
      </w:r>
      <w:r w:rsidR="00D24EB8" w:rsidRPr="0011430E">
        <w:rPr>
          <w:sz w:val="26"/>
          <w:szCs w:val="26"/>
        </w:rPr>
        <w:t xml:space="preserve"> обставин</w:t>
      </w:r>
      <w:r w:rsidR="003C706F" w:rsidRPr="0011430E">
        <w:rPr>
          <w:sz w:val="26"/>
          <w:szCs w:val="26"/>
        </w:rPr>
        <w:t>ах</w:t>
      </w:r>
      <w:r w:rsidR="00D24EB8" w:rsidRPr="0011430E">
        <w:rPr>
          <w:sz w:val="26"/>
          <w:szCs w:val="26"/>
        </w:rPr>
        <w:t xml:space="preserve"> - 300,0 тис. гривень, </w:t>
      </w:r>
      <w:r w:rsidR="00014138">
        <w:rPr>
          <w:sz w:val="26"/>
          <w:szCs w:val="26"/>
        </w:rPr>
        <w:t xml:space="preserve">на </w:t>
      </w:r>
      <w:r w:rsidR="00D24EB8" w:rsidRPr="0011430E">
        <w:rPr>
          <w:sz w:val="26"/>
          <w:szCs w:val="26"/>
        </w:rPr>
        <w:t>лікування поранених</w:t>
      </w:r>
      <w:r w:rsidR="003C706F" w:rsidRPr="0011430E">
        <w:rPr>
          <w:sz w:val="26"/>
          <w:szCs w:val="26"/>
        </w:rPr>
        <w:t xml:space="preserve"> захисників та захисниць</w:t>
      </w:r>
      <w:r w:rsidR="00D24EB8" w:rsidRPr="0011430E">
        <w:rPr>
          <w:sz w:val="26"/>
          <w:szCs w:val="26"/>
        </w:rPr>
        <w:t xml:space="preserve"> – </w:t>
      </w:r>
      <w:r w:rsidR="00F90BEC" w:rsidRPr="0011430E">
        <w:rPr>
          <w:sz w:val="26"/>
          <w:szCs w:val="26"/>
        </w:rPr>
        <w:t>231</w:t>
      </w:r>
      <w:r w:rsidR="00D24EB8" w:rsidRPr="0011430E">
        <w:rPr>
          <w:sz w:val="26"/>
          <w:szCs w:val="26"/>
        </w:rPr>
        <w:t>,0 тис. гривень, дітям цивільних загиблих – 50,0 тис. гривень,</w:t>
      </w:r>
      <w:r w:rsidR="00014138">
        <w:rPr>
          <w:sz w:val="26"/>
          <w:szCs w:val="26"/>
        </w:rPr>
        <w:t xml:space="preserve"> на</w:t>
      </w:r>
      <w:r w:rsidR="00D24EB8" w:rsidRPr="0011430E">
        <w:rPr>
          <w:sz w:val="26"/>
          <w:szCs w:val="26"/>
        </w:rPr>
        <w:t xml:space="preserve"> допомог</w:t>
      </w:r>
      <w:r w:rsidR="00014138">
        <w:rPr>
          <w:sz w:val="26"/>
          <w:szCs w:val="26"/>
        </w:rPr>
        <w:t>у</w:t>
      </w:r>
      <w:r w:rsidR="00D24EB8" w:rsidRPr="0011430E">
        <w:rPr>
          <w:sz w:val="26"/>
          <w:szCs w:val="26"/>
        </w:rPr>
        <w:t xml:space="preserve"> чорнобильцям на санаторно-курортне лікування – </w:t>
      </w:r>
      <w:r w:rsidR="00F90BEC" w:rsidRPr="0011430E">
        <w:rPr>
          <w:sz w:val="26"/>
          <w:szCs w:val="26"/>
        </w:rPr>
        <w:t>15</w:t>
      </w:r>
      <w:r w:rsidR="00D24EB8" w:rsidRPr="0011430E">
        <w:rPr>
          <w:sz w:val="26"/>
          <w:szCs w:val="26"/>
        </w:rPr>
        <w:t>,0 тис. гривень</w:t>
      </w:r>
      <w:r w:rsidR="008F3998" w:rsidRPr="0011430E">
        <w:rPr>
          <w:sz w:val="26"/>
          <w:szCs w:val="26"/>
        </w:rPr>
        <w:t xml:space="preserve">, </w:t>
      </w:r>
      <w:r w:rsidR="008F3998" w:rsidRPr="0011430E">
        <w:rPr>
          <w:rFonts w:eastAsia="Calibri"/>
          <w:sz w:val="26"/>
          <w:szCs w:val="26"/>
          <w:lang w:eastAsia="x-none"/>
        </w:rPr>
        <w:t>щомісячна виплата стипендії громадянам, яким виповнилося 100 років</w:t>
      </w:r>
      <w:r w:rsidR="00014138">
        <w:rPr>
          <w:rFonts w:eastAsia="Calibri"/>
          <w:sz w:val="26"/>
          <w:szCs w:val="26"/>
          <w:lang w:eastAsia="x-none"/>
        </w:rPr>
        <w:t xml:space="preserve"> на суму</w:t>
      </w:r>
      <w:r w:rsidR="008F3998" w:rsidRPr="0011430E">
        <w:rPr>
          <w:rFonts w:eastAsia="Calibri"/>
          <w:sz w:val="26"/>
          <w:szCs w:val="26"/>
          <w:lang w:eastAsia="x-none"/>
        </w:rPr>
        <w:t xml:space="preserve"> 7,8 тис. гривень, одноразова матеріальна допомога одному з батьків на дитину, народжену в акушерсько-гінекологічному відділенні КНП «Тростянецька міська лікарня» на суму 588,0 тис. гривень</w:t>
      </w:r>
      <w:r w:rsidR="00631B81" w:rsidRPr="0011430E">
        <w:rPr>
          <w:rFonts w:eastAsia="Calibri"/>
          <w:sz w:val="26"/>
          <w:szCs w:val="26"/>
          <w:lang w:eastAsia="x-none"/>
        </w:rPr>
        <w:t>.</w:t>
      </w:r>
    </w:p>
    <w:p w:rsidR="00FE2074" w:rsidRPr="0011430E" w:rsidRDefault="00FE2074" w:rsidP="00D24EB8">
      <w:pPr>
        <w:ind w:firstLine="567"/>
        <w:jc w:val="both"/>
        <w:rPr>
          <w:sz w:val="26"/>
          <w:szCs w:val="26"/>
        </w:rPr>
      </w:pPr>
    </w:p>
    <w:p w:rsidR="00F104D2" w:rsidRDefault="00D24EB8" w:rsidP="00D24EB8">
      <w:pPr>
        <w:jc w:val="center"/>
        <w:rPr>
          <w:b/>
          <w:bCs/>
          <w:iCs/>
          <w:sz w:val="26"/>
          <w:szCs w:val="26"/>
          <w:u w:val="single"/>
        </w:rPr>
      </w:pPr>
      <w:r w:rsidRPr="0011430E">
        <w:rPr>
          <w:b/>
          <w:bCs/>
          <w:iCs/>
          <w:sz w:val="26"/>
          <w:szCs w:val="26"/>
          <w:u w:val="single"/>
        </w:rPr>
        <w:t>Головний розпорядник коштів «</w:t>
      </w:r>
      <w:bookmarkStart w:id="4" w:name="_Hlk217026056"/>
      <w:r w:rsidRPr="0011430E">
        <w:rPr>
          <w:b/>
          <w:bCs/>
          <w:iCs/>
          <w:sz w:val="26"/>
          <w:szCs w:val="26"/>
          <w:u w:val="single"/>
        </w:rPr>
        <w:t>Відділ культури</w:t>
      </w:r>
      <w:r w:rsidR="00017D09">
        <w:rPr>
          <w:b/>
          <w:bCs/>
          <w:iCs/>
          <w:sz w:val="26"/>
          <w:szCs w:val="26"/>
          <w:u w:val="single"/>
        </w:rPr>
        <w:t xml:space="preserve">, туризму, </w:t>
      </w:r>
    </w:p>
    <w:p w:rsidR="00D24EB8" w:rsidRPr="0011430E" w:rsidRDefault="00017D09" w:rsidP="00D24EB8">
      <w:pPr>
        <w:jc w:val="center"/>
        <w:rPr>
          <w:b/>
          <w:bCs/>
          <w:iCs/>
          <w:sz w:val="26"/>
          <w:szCs w:val="26"/>
          <w:u w:val="single"/>
        </w:rPr>
      </w:pPr>
      <w:r>
        <w:rPr>
          <w:b/>
          <w:bCs/>
          <w:iCs/>
          <w:sz w:val="26"/>
          <w:szCs w:val="26"/>
          <w:u w:val="single"/>
        </w:rPr>
        <w:t>молоді, спорту та охорон</w:t>
      </w:r>
      <w:r w:rsidR="00F104D2">
        <w:rPr>
          <w:b/>
          <w:bCs/>
          <w:iCs/>
          <w:sz w:val="26"/>
          <w:szCs w:val="26"/>
          <w:u w:val="single"/>
        </w:rPr>
        <w:t>и</w:t>
      </w:r>
      <w:r>
        <w:rPr>
          <w:b/>
          <w:bCs/>
          <w:iCs/>
          <w:sz w:val="26"/>
          <w:szCs w:val="26"/>
          <w:u w:val="single"/>
        </w:rPr>
        <w:t xml:space="preserve"> культурної спадщини</w:t>
      </w:r>
      <w:r w:rsidR="00D24EB8" w:rsidRPr="0011430E">
        <w:rPr>
          <w:b/>
          <w:bCs/>
          <w:iCs/>
          <w:sz w:val="26"/>
          <w:szCs w:val="26"/>
          <w:u w:val="single"/>
        </w:rPr>
        <w:t>»</w:t>
      </w:r>
    </w:p>
    <w:bookmarkEnd w:id="4"/>
    <w:p w:rsidR="00D24EB8" w:rsidRPr="0011430E" w:rsidRDefault="00D24EB8" w:rsidP="00D24EB8">
      <w:pPr>
        <w:ind w:left="360"/>
        <w:jc w:val="center"/>
        <w:rPr>
          <w:b/>
          <w:bCs/>
          <w:iCs/>
          <w:sz w:val="26"/>
          <w:szCs w:val="26"/>
        </w:rPr>
      </w:pPr>
    </w:p>
    <w:p w:rsidR="00D24EB8" w:rsidRPr="0011430E" w:rsidRDefault="00D24EB8" w:rsidP="00D24EB8">
      <w:pPr>
        <w:pStyle w:val="ac"/>
        <w:suppressAutoHyphens/>
        <w:ind w:firstLine="567"/>
        <w:jc w:val="both"/>
        <w:rPr>
          <w:b/>
          <w:bCs/>
          <w:iCs/>
          <w:sz w:val="26"/>
          <w:szCs w:val="26"/>
        </w:rPr>
      </w:pPr>
      <w:r w:rsidRPr="0011430E">
        <w:rPr>
          <w:sz w:val="26"/>
          <w:szCs w:val="26"/>
        </w:rPr>
        <w:t>Видатки бюджету</w:t>
      </w:r>
      <w:r w:rsidRPr="0011430E">
        <w:rPr>
          <w:bCs/>
          <w:sz w:val="26"/>
          <w:szCs w:val="26"/>
        </w:rPr>
        <w:t xml:space="preserve"> Тростянецької міської територіальної громади на</w:t>
      </w:r>
      <w:r w:rsidRPr="0011430E">
        <w:rPr>
          <w:sz w:val="26"/>
          <w:szCs w:val="26"/>
        </w:rPr>
        <w:t xml:space="preserve"> 202</w:t>
      </w:r>
      <w:r w:rsidR="00AD4400" w:rsidRPr="0011430E">
        <w:rPr>
          <w:sz w:val="26"/>
          <w:szCs w:val="26"/>
        </w:rPr>
        <w:t>6</w:t>
      </w:r>
      <w:r w:rsidRPr="0011430E">
        <w:rPr>
          <w:sz w:val="26"/>
          <w:szCs w:val="26"/>
        </w:rPr>
        <w:t xml:space="preserve"> рік на утримання установ і закладів культури затверджені в сумі </w:t>
      </w:r>
      <w:r w:rsidR="001A0EFB" w:rsidRPr="0011430E">
        <w:rPr>
          <w:sz w:val="26"/>
          <w:szCs w:val="26"/>
        </w:rPr>
        <w:t>63 </w:t>
      </w:r>
      <w:r w:rsidR="0040325F" w:rsidRPr="0011430E">
        <w:rPr>
          <w:sz w:val="26"/>
          <w:szCs w:val="26"/>
        </w:rPr>
        <w:t>0</w:t>
      </w:r>
      <w:r w:rsidR="001A0EFB" w:rsidRPr="0011430E">
        <w:rPr>
          <w:sz w:val="26"/>
          <w:szCs w:val="26"/>
        </w:rPr>
        <w:t>16,5</w:t>
      </w:r>
      <w:r w:rsidRPr="0011430E">
        <w:rPr>
          <w:sz w:val="26"/>
          <w:szCs w:val="26"/>
        </w:rPr>
        <w:t xml:space="preserve"> гривень, з них по загальному фонду – </w:t>
      </w:r>
      <w:r w:rsidR="001A0EFB" w:rsidRPr="0011430E">
        <w:rPr>
          <w:sz w:val="26"/>
          <w:szCs w:val="26"/>
        </w:rPr>
        <w:t>61 </w:t>
      </w:r>
      <w:r w:rsidR="0040325F" w:rsidRPr="0011430E">
        <w:rPr>
          <w:sz w:val="26"/>
          <w:szCs w:val="26"/>
        </w:rPr>
        <w:t>1</w:t>
      </w:r>
      <w:r w:rsidR="001A0EFB" w:rsidRPr="0011430E">
        <w:rPr>
          <w:sz w:val="26"/>
          <w:szCs w:val="26"/>
        </w:rPr>
        <w:t>51,5</w:t>
      </w:r>
      <w:r w:rsidRPr="0011430E">
        <w:rPr>
          <w:sz w:val="26"/>
          <w:szCs w:val="26"/>
        </w:rPr>
        <w:t xml:space="preserve"> тис. гривень, в тому числі на заробітну плату з нарахуванням </w:t>
      </w:r>
      <w:r w:rsidR="00AD4400" w:rsidRPr="0011430E">
        <w:rPr>
          <w:sz w:val="26"/>
          <w:szCs w:val="26"/>
        </w:rPr>
        <w:t>39 669,7 тис. гривень</w:t>
      </w:r>
      <w:r w:rsidR="00384C7B" w:rsidRPr="0011430E">
        <w:rPr>
          <w:sz w:val="26"/>
          <w:szCs w:val="26"/>
        </w:rPr>
        <w:t>, комунальні послуги та енергоносії на суму 5 438.8 тис. гривень</w:t>
      </w:r>
      <w:r w:rsidRPr="0011430E">
        <w:rPr>
          <w:sz w:val="26"/>
          <w:szCs w:val="26"/>
        </w:rPr>
        <w:t xml:space="preserve"> та по спеціальному фонду – </w:t>
      </w:r>
      <w:r w:rsidR="001A0EFB" w:rsidRPr="0011430E">
        <w:rPr>
          <w:sz w:val="26"/>
          <w:szCs w:val="26"/>
        </w:rPr>
        <w:t>1 865,0</w:t>
      </w:r>
      <w:r w:rsidRPr="0011430E">
        <w:rPr>
          <w:sz w:val="26"/>
          <w:szCs w:val="26"/>
        </w:rPr>
        <w:t xml:space="preserve"> тис. гривень.</w:t>
      </w:r>
    </w:p>
    <w:p w:rsidR="00D24EB8" w:rsidRPr="0011430E" w:rsidRDefault="00927B3B" w:rsidP="00D24EB8">
      <w:pPr>
        <w:ind w:firstLine="567"/>
        <w:jc w:val="both"/>
        <w:rPr>
          <w:sz w:val="26"/>
          <w:szCs w:val="26"/>
        </w:rPr>
      </w:pPr>
      <w:r w:rsidRPr="00927B3B">
        <w:rPr>
          <w:bCs/>
          <w:sz w:val="26"/>
          <w:szCs w:val="26"/>
        </w:rPr>
        <w:t>На</w:t>
      </w:r>
      <w:r>
        <w:rPr>
          <w:b/>
          <w:sz w:val="26"/>
          <w:szCs w:val="26"/>
        </w:rPr>
        <w:t xml:space="preserve"> а</w:t>
      </w:r>
      <w:r w:rsidR="00D24EB8" w:rsidRPr="0011430E">
        <w:rPr>
          <w:b/>
          <w:sz w:val="26"/>
          <w:szCs w:val="26"/>
        </w:rPr>
        <w:t>парат відділу культури</w:t>
      </w:r>
      <w:r>
        <w:rPr>
          <w:b/>
          <w:sz w:val="26"/>
          <w:szCs w:val="26"/>
        </w:rPr>
        <w:t xml:space="preserve"> </w:t>
      </w:r>
      <w:r w:rsidRPr="00927B3B">
        <w:rPr>
          <w:bCs/>
          <w:sz w:val="26"/>
          <w:szCs w:val="26"/>
        </w:rPr>
        <w:t>затверджені кошти</w:t>
      </w:r>
      <w:r w:rsidR="00D24EB8" w:rsidRPr="0011430E">
        <w:rPr>
          <w:sz w:val="26"/>
          <w:szCs w:val="26"/>
        </w:rPr>
        <w:t xml:space="preserve"> у сумі 1</w:t>
      </w:r>
      <w:r w:rsidR="00384C7B" w:rsidRPr="0011430E">
        <w:rPr>
          <w:sz w:val="26"/>
          <w:szCs w:val="26"/>
        </w:rPr>
        <w:t> 630,0</w:t>
      </w:r>
      <w:r w:rsidR="00D24EB8" w:rsidRPr="0011430E">
        <w:rPr>
          <w:sz w:val="26"/>
          <w:szCs w:val="26"/>
        </w:rPr>
        <w:t xml:space="preserve">тис. гривень, в тому числі оплата праці з нарахуванням у сумі </w:t>
      </w:r>
      <w:r w:rsidR="00384C7B" w:rsidRPr="0011430E">
        <w:rPr>
          <w:sz w:val="26"/>
          <w:szCs w:val="26"/>
        </w:rPr>
        <w:t>1 152,9</w:t>
      </w:r>
      <w:r w:rsidR="00D24EB8" w:rsidRPr="0011430E">
        <w:rPr>
          <w:sz w:val="26"/>
          <w:szCs w:val="26"/>
        </w:rPr>
        <w:t xml:space="preserve"> тис. гривень, комунальні послуги та енергоносії у сумі </w:t>
      </w:r>
      <w:r w:rsidR="00384C7B" w:rsidRPr="0011430E">
        <w:rPr>
          <w:sz w:val="26"/>
          <w:szCs w:val="26"/>
        </w:rPr>
        <w:t xml:space="preserve">255,1 </w:t>
      </w:r>
      <w:r w:rsidR="00D24EB8" w:rsidRPr="0011430E">
        <w:rPr>
          <w:sz w:val="26"/>
          <w:szCs w:val="26"/>
        </w:rPr>
        <w:t xml:space="preserve"> тис. гривень.</w:t>
      </w:r>
    </w:p>
    <w:p w:rsidR="00D24EB8" w:rsidRPr="0011430E" w:rsidRDefault="00927B3B" w:rsidP="00D24EB8">
      <w:pPr>
        <w:ind w:firstLine="567"/>
        <w:jc w:val="both"/>
        <w:rPr>
          <w:sz w:val="26"/>
          <w:szCs w:val="26"/>
        </w:rPr>
      </w:pPr>
      <w:r w:rsidRPr="00927B3B">
        <w:rPr>
          <w:bCs/>
          <w:sz w:val="26"/>
          <w:szCs w:val="26"/>
        </w:rPr>
        <w:t>На</w:t>
      </w:r>
      <w:r>
        <w:rPr>
          <w:b/>
          <w:sz w:val="26"/>
          <w:szCs w:val="26"/>
        </w:rPr>
        <w:t xml:space="preserve"> н</w:t>
      </w:r>
      <w:r w:rsidR="00D24EB8" w:rsidRPr="0011430E">
        <w:rPr>
          <w:b/>
          <w:sz w:val="26"/>
          <w:szCs w:val="26"/>
        </w:rPr>
        <w:t>адання спеціальної освіти мистецькими школами</w:t>
      </w:r>
      <w:r>
        <w:rPr>
          <w:b/>
          <w:sz w:val="26"/>
          <w:szCs w:val="26"/>
        </w:rPr>
        <w:t xml:space="preserve"> </w:t>
      </w:r>
      <w:r w:rsidRPr="00927B3B">
        <w:rPr>
          <w:bCs/>
          <w:sz w:val="26"/>
          <w:szCs w:val="26"/>
        </w:rPr>
        <w:t>затверджені кошти</w:t>
      </w:r>
      <w:r w:rsidR="00D24EB8" w:rsidRPr="0011430E">
        <w:rPr>
          <w:sz w:val="26"/>
          <w:szCs w:val="26"/>
        </w:rPr>
        <w:t xml:space="preserve"> </w:t>
      </w:r>
      <w:bookmarkStart w:id="5" w:name="_Hlk185511453"/>
      <w:r w:rsidR="00D24EB8" w:rsidRPr="0011430E">
        <w:rPr>
          <w:sz w:val="26"/>
          <w:szCs w:val="26"/>
        </w:rPr>
        <w:t xml:space="preserve">у сумі </w:t>
      </w:r>
      <w:r w:rsidR="001A0EFB" w:rsidRPr="0011430E">
        <w:rPr>
          <w:sz w:val="26"/>
          <w:szCs w:val="26"/>
        </w:rPr>
        <w:t>4 909,7</w:t>
      </w:r>
      <w:r w:rsidR="00D24EB8" w:rsidRPr="0011430E">
        <w:rPr>
          <w:sz w:val="26"/>
          <w:szCs w:val="26"/>
        </w:rPr>
        <w:t xml:space="preserve"> тис. гривень, з них по загальному фонду </w:t>
      </w:r>
      <w:r w:rsidR="00384C7B" w:rsidRPr="0011430E">
        <w:rPr>
          <w:sz w:val="26"/>
          <w:szCs w:val="26"/>
        </w:rPr>
        <w:t>4 569,7</w:t>
      </w:r>
      <w:r w:rsidR="00D24EB8" w:rsidRPr="0011430E">
        <w:rPr>
          <w:sz w:val="26"/>
          <w:szCs w:val="26"/>
        </w:rPr>
        <w:t xml:space="preserve"> тис. гривень, в тому числі оплата праці з нарахуванням у сумі </w:t>
      </w:r>
      <w:r w:rsidR="00384C7B" w:rsidRPr="0011430E">
        <w:rPr>
          <w:sz w:val="26"/>
          <w:szCs w:val="26"/>
        </w:rPr>
        <w:t>4 087,0</w:t>
      </w:r>
      <w:r w:rsidR="00D24EB8" w:rsidRPr="0011430E">
        <w:rPr>
          <w:sz w:val="26"/>
          <w:szCs w:val="26"/>
        </w:rPr>
        <w:t xml:space="preserve"> тис. гривень, комунальні послуги та енергоносії у сумі </w:t>
      </w:r>
      <w:r w:rsidR="00384C7B" w:rsidRPr="0011430E">
        <w:rPr>
          <w:sz w:val="26"/>
          <w:szCs w:val="26"/>
        </w:rPr>
        <w:t>389,9</w:t>
      </w:r>
      <w:r w:rsidR="00D24EB8" w:rsidRPr="0011430E">
        <w:rPr>
          <w:sz w:val="26"/>
          <w:szCs w:val="26"/>
        </w:rPr>
        <w:t xml:space="preserve"> тис. гривень,</w:t>
      </w:r>
      <w:bookmarkEnd w:id="5"/>
      <w:r w:rsidR="00D24EB8" w:rsidRPr="0011430E">
        <w:rPr>
          <w:sz w:val="26"/>
          <w:szCs w:val="26"/>
        </w:rPr>
        <w:t xml:space="preserve"> по спеціальному фонду </w:t>
      </w:r>
      <w:r w:rsidR="001A0EFB" w:rsidRPr="0011430E">
        <w:rPr>
          <w:sz w:val="26"/>
          <w:szCs w:val="26"/>
        </w:rPr>
        <w:t>340,0</w:t>
      </w:r>
      <w:r w:rsidR="00D24EB8" w:rsidRPr="0011430E">
        <w:rPr>
          <w:sz w:val="26"/>
          <w:szCs w:val="26"/>
        </w:rPr>
        <w:t xml:space="preserve"> тис. гривень (</w:t>
      </w:r>
      <w:r w:rsidR="00D24EB8" w:rsidRPr="0011430E">
        <w:rPr>
          <w:i/>
          <w:sz w:val="26"/>
          <w:szCs w:val="26"/>
        </w:rPr>
        <w:t>плата батьків за навчання 300,0 тис. гривень</w:t>
      </w:r>
      <w:r w:rsidR="001A0EFB" w:rsidRPr="0011430E">
        <w:rPr>
          <w:i/>
          <w:sz w:val="26"/>
          <w:szCs w:val="26"/>
        </w:rPr>
        <w:t>).</w:t>
      </w:r>
    </w:p>
    <w:p w:rsidR="00D24EB8" w:rsidRPr="0011430E" w:rsidRDefault="00AC2CCD" w:rsidP="00D24EB8">
      <w:pPr>
        <w:ind w:firstLine="567"/>
        <w:jc w:val="both"/>
        <w:rPr>
          <w:sz w:val="26"/>
          <w:szCs w:val="26"/>
        </w:rPr>
      </w:pPr>
      <w:r w:rsidRPr="00AC2CCD">
        <w:rPr>
          <w:sz w:val="26"/>
          <w:szCs w:val="26"/>
        </w:rPr>
        <w:t>На</w:t>
      </w:r>
      <w:r>
        <w:rPr>
          <w:b/>
          <w:bCs/>
          <w:sz w:val="26"/>
          <w:szCs w:val="26"/>
        </w:rPr>
        <w:t xml:space="preserve"> і</w:t>
      </w:r>
      <w:r w:rsidR="00D24EB8" w:rsidRPr="0011430E">
        <w:rPr>
          <w:b/>
          <w:bCs/>
          <w:sz w:val="26"/>
          <w:szCs w:val="26"/>
        </w:rPr>
        <w:t>нші заходи та заклади молодіжної політики</w:t>
      </w:r>
      <w:r w:rsidR="00D24EB8" w:rsidRPr="0011430E">
        <w:rPr>
          <w:sz w:val="26"/>
          <w:szCs w:val="26"/>
        </w:rPr>
        <w:t xml:space="preserve"> </w:t>
      </w:r>
      <w:r w:rsidR="00CB01D8" w:rsidRPr="0011430E">
        <w:rPr>
          <w:sz w:val="26"/>
          <w:szCs w:val="26"/>
        </w:rPr>
        <w:t>(КУ «МЦ «Коробка»)</w:t>
      </w:r>
      <w:r>
        <w:rPr>
          <w:sz w:val="26"/>
          <w:szCs w:val="26"/>
        </w:rPr>
        <w:t xml:space="preserve"> затверджені кошти</w:t>
      </w:r>
      <w:r w:rsidR="00CB01D8" w:rsidRPr="0011430E">
        <w:rPr>
          <w:sz w:val="26"/>
          <w:szCs w:val="26"/>
        </w:rPr>
        <w:t xml:space="preserve"> </w:t>
      </w:r>
      <w:r w:rsidR="00D24EB8" w:rsidRPr="0011430E">
        <w:rPr>
          <w:sz w:val="26"/>
          <w:szCs w:val="26"/>
        </w:rPr>
        <w:t xml:space="preserve">у сумі </w:t>
      </w:r>
      <w:r w:rsidR="006D4143" w:rsidRPr="0011430E">
        <w:rPr>
          <w:sz w:val="26"/>
          <w:szCs w:val="26"/>
        </w:rPr>
        <w:t>1</w:t>
      </w:r>
      <w:r w:rsidR="00D21828" w:rsidRPr="0011430E">
        <w:rPr>
          <w:sz w:val="26"/>
          <w:szCs w:val="26"/>
        </w:rPr>
        <w:t> 238,2</w:t>
      </w:r>
      <w:r w:rsidR="00D24EB8" w:rsidRPr="0011430E">
        <w:rPr>
          <w:sz w:val="26"/>
          <w:szCs w:val="26"/>
        </w:rPr>
        <w:t xml:space="preserve"> тис. гривень загальному фонду, в тому числі оплата праці з нарахуванням у сумі </w:t>
      </w:r>
      <w:r w:rsidR="006D4143" w:rsidRPr="0011430E">
        <w:rPr>
          <w:sz w:val="26"/>
          <w:szCs w:val="26"/>
        </w:rPr>
        <w:t>964,7</w:t>
      </w:r>
      <w:r w:rsidR="00D24EB8" w:rsidRPr="0011430E">
        <w:rPr>
          <w:sz w:val="26"/>
          <w:szCs w:val="26"/>
        </w:rPr>
        <w:t xml:space="preserve"> тис. гривень, комунальні послуги та енергоносії у сумі </w:t>
      </w:r>
      <w:r w:rsidR="006D4143" w:rsidRPr="0011430E">
        <w:rPr>
          <w:sz w:val="26"/>
          <w:szCs w:val="26"/>
        </w:rPr>
        <w:t>107,0</w:t>
      </w:r>
      <w:r w:rsidR="00D24EB8" w:rsidRPr="0011430E">
        <w:rPr>
          <w:sz w:val="26"/>
          <w:szCs w:val="26"/>
        </w:rPr>
        <w:t xml:space="preserve"> тис. гривень</w:t>
      </w:r>
      <w:r w:rsidR="00A55EEE">
        <w:rPr>
          <w:sz w:val="26"/>
          <w:szCs w:val="26"/>
        </w:rPr>
        <w:t>.</w:t>
      </w:r>
    </w:p>
    <w:p w:rsidR="00D21828" w:rsidRPr="0011430E" w:rsidRDefault="00A55EEE" w:rsidP="00D24EB8">
      <w:pPr>
        <w:ind w:firstLine="567"/>
        <w:jc w:val="both"/>
        <w:rPr>
          <w:i/>
          <w:sz w:val="26"/>
          <w:szCs w:val="26"/>
        </w:rPr>
      </w:pPr>
      <w:r w:rsidRPr="00A55EEE">
        <w:rPr>
          <w:bCs/>
          <w:sz w:val="26"/>
          <w:szCs w:val="26"/>
        </w:rPr>
        <w:t>На</w:t>
      </w:r>
      <w:r>
        <w:rPr>
          <w:b/>
          <w:sz w:val="26"/>
          <w:szCs w:val="26"/>
        </w:rPr>
        <w:t xml:space="preserve"> з</w:t>
      </w:r>
      <w:r w:rsidR="00D24EB8" w:rsidRPr="0011430E">
        <w:rPr>
          <w:b/>
          <w:sz w:val="26"/>
          <w:szCs w:val="26"/>
        </w:rPr>
        <w:t>абезпечення діяльності бібліотек</w:t>
      </w:r>
      <w:r w:rsidR="00D24EB8" w:rsidRPr="0011430E">
        <w:rPr>
          <w:sz w:val="26"/>
          <w:szCs w:val="26"/>
        </w:rPr>
        <w:t xml:space="preserve"> </w:t>
      </w:r>
      <w:r>
        <w:rPr>
          <w:sz w:val="26"/>
          <w:szCs w:val="26"/>
        </w:rPr>
        <w:t xml:space="preserve">затверджені кошти </w:t>
      </w:r>
      <w:r w:rsidR="00D24EB8" w:rsidRPr="0011430E">
        <w:rPr>
          <w:sz w:val="26"/>
          <w:szCs w:val="26"/>
        </w:rPr>
        <w:t xml:space="preserve">у сумі </w:t>
      </w:r>
      <w:r w:rsidR="00D21828" w:rsidRPr="0011430E">
        <w:rPr>
          <w:sz w:val="26"/>
          <w:szCs w:val="26"/>
        </w:rPr>
        <w:t>6 333,5</w:t>
      </w:r>
      <w:r w:rsidR="00D24EB8" w:rsidRPr="0011430E">
        <w:rPr>
          <w:sz w:val="26"/>
          <w:szCs w:val="26"/>
        </w:rPr>
        <w:t xml:space="preserve"> тис. гривень, з них по загальному фонду </w:t>
      </w:r>
      <w:r w:rsidR="00D21828" w:rsidRPr="0011430E">
        <w:rPr>
          <w:sz w:val="26"/>
          <w:szCs w:val="26"/>
        </w:rPr>
        <w:t>6 308,5</w:t>
      </w:r>
      <w:r w:rsidR="00D24EB8" w:rsidRPr="0011430E">
        <w:rPr>
          <w:sz w:val="26"/>
          <w:szCs w:val="26"/>
        </w:rPr>
        <w:t xml:space="preserve"> тис. гривень, в тому числі оплата праці з нарахуванням у сумі 4</w:t>
      </w:r>
      <w:r w:rsidR="006D4143" w:rsidRPr="0011430E">
        <w:rPr>
          <w:sz w:val="26"/>
          <w:szCs w:val="26"/>
        </w:rPr>
        <w:t> 326,0</w:t>
      </w:r>
      <w:r w:rsidR="00D24EB8" w:rsidRPr="0011430E">
        <w:rPr>
          <w:sz w:val="26"/>
          <w:szCs w:val="26"/>
        </w:rPr>
        <w:t xml:space="preserve"> тис. гривень, комунальні послуги та енергоносії у сумі </w:t>
      </w:r>
      <w:r w:rsidR="006D4143" w:rsidRPr="0011430E">
        <w:rPr>
          <w:sz w:val="26"/>
          <w:szCs w:val="26"/>
        </w:rPr>
        <w:t>513,0</w:t>
      </w:r>
      <w:r w:rsidR="00D24EB8" w:rsidRPr="0011430E">
        <w:rPr>
          <w:sz w:val="26"/>
          <w:szCs w:val="26"/>
        </w:rPr>
        <w:t xml:space="preserve"> тис. гривень, та видатки по спеціальному фонду у сумі </w:t>
      </w:r>
      <w:r w:rsidR="00D21828" w:rsidRPr="0011430E">
        <w:rPr>
          <w:sz w:val="26"/>
          <w:szCs w:val="26"/>
        </w:rPr>
        <w:t>25,0</w:t>
      </w:r>
      <w:r w:rsidR="00D24EB8" w:rsidRPr="0011430E">
        <w:rPr>
          <w:sz w:val="26"/>
          <w:szCs w:val="26"/>
        </w:rPr>
        <w:t xml:space="preserve"> тис. гривень (</w:t>
      </w:r>
      <w:r w:rsidR="00D24EB8" w:rsidRPr="0011430E">
        <w:rPr>
          <w:i/>
          <w:sz w:val="26"/>
          <w:szCs w:val="26"/>
        </w:rPr>
        <w:t>платні послуги</w:t>
      </w:r>
      <w:r w:rsidR="00D21828" w:rsidRPr="0011430E">
        <w:rPr>
          <w:i/>
          <w:sz w:val="26"/>
          <w:szCs w:val="26"/>
        </w:rPr>
        <w:t>).</w:t>
      </w:r>
      <w:r w:rsidR="00D24EB8" w:rsidRPr="0011430E">
        <w:rPr>
          <w:i/>
          <w:sz w:val="26"/>
          <w:szCs w:val="26"/>
        </w:rPr>
        <w:t xml:space="preserve"> </w:t>
      </w:r>
    </w:p>
    <w:p w:rsidR="00D24EB8" w:rsidRPr="0011430E" w:rsidRDefault="00DD483F" w:rsidP="00D24EB8">
      <w:pPr>
        <w:ind w:firstLine="567"/>
        <w:jc w:val="both"/>
        <w:rPr>
          <w:sz w:val="26"/>
          <w:szCs w:val="26"/>
        </w:rPr>
      </w:pPr>
      <w:r w:rsidRPr="00DD483F">
        <w:rPr>
          <w:bCs/>
          <w:sz w:val="26"/>
          <w:szCs w:val="26"/>
        </w:rPr>
        <w:t>На</w:t>
      </w:r>
      <w:r>
        <w:rPr>
          <w:b/>
          <w:sz w:val="26"/>
          <w:szCs w:val="26"/>
        </w:rPr>
        <w:t xml:space="preserve"> з</w:t>
      </w:r>
      <w:r w:rsidR="00D24EB8" w:rsidRPr="0011430E">
        <w:rPr>
          <w:b/>
          <w:sz w:val="26"/>
          <w:szCs w:val="26"/>
        </w:rPr>
        <w:t>абезпечення музеїв і виставок</w:t>
      </w:r>
      <w:r>
        <w:rPr>
          <w:b/>
          <w:sz w:val="26"/>
          <w:szCs w:val="26"/>
        </w:rPr>
        <w:t xml:space="preserve"> </w:t>
      </w:r>
      <w:r w:rsidRPr="00DD483F">
        <w:rPr>
          <w:bCs/>
          <w:sz w:val="26"/>
          <w:szCs w:val="26"/>
        </w:rPr>
        <w:t>затверджені кошти</w:t>
      </w:r>
      <w:r w:rsidR="00D24EB8" w:rsidRPr="0011430E">
        <w:rPr>
          <w:sz w:val="26"/>
          <w:szCs w:val="26"/>
        </w:rPr>
        <w:t xml:space="preserve"> у сумі </w:t>
      </w:r>
      <w:r w:rsidR="00785C2C" w:rsidRPr="0011430E">
        <w:rPr>
          <w:sz w:val="26"/>
          <w:szCs w:val="26"/>
        </w:rPr>
        <w:t>4 561,3</w:t>
      </w:r>
      <w:r w:rsidR="00D24EB8" w:rsidRPr="0011430E">
        <w:rPr>
          <w:sz w:val="26"/>
          <w:szCs w:val="26"/>
        </w:rPr>
        <w:t xml:space="preserve"> тис. гривень, з них по загальному фонду </w:t>
      </w:r>
      <w:r w:rsidR="00785C2C" w:rsidRPr="0011430E">
        <w:rPr>
          <w:sz w:val="26"/>
          <w:szCs w:val="26"/>
        </w:rPr>
        <w:t>4 101,3</w:t>
      </w:r>
      <w:r w:rsidR="00D24EB8" w:rsidRPr="0011430E">
        <w:rPr>
          <w:sz w:val="26"/>
          <w:szCs w:val="26"/>
        </w:rPr>
        <w:t xml:space="preserve"> тис. гривень, в тому числі оплата праці з нарахуванням у сумі 1</w:t>
      </w:r>
      <w:r w:rsidR="006035EF" w:rsidRPr="0011430E">
        <w:rPr>
          <w:sz w:val="26"/>
          <w:szCs w:val="26"/>
        </w:rPr>
        <w:t> 562,0</w:t>
      </w:r>
      <w:r w:rsidR="00D24EB8" w:rsidRPr="0011430E">
        <w:rPr>
          <w:sz w:val="26"/>
          <w:szCs w:val="26"/>
        </w:rPr>
        <w:t xml:space="preserve"> тис. гривень, комунальні послуги та енергоносії у сумі </w:t>
      </w:r>
      <w:r w:rsidR="006035EF" w:rsidRPr="0011430E">
        <w:rPr>
          <w:sz w:val="26"/>
          <w:szCs w:val="26"/>
        </w:rPr>
        <w:t>488,3</w:t>
      </w:r>
      <w:r w:rsidR="00D24EB8" w:rsidRPr="0011430E">
        <w:rPr>
          <w:sz w:val="26"/>
          <w:szCs w:val="26"/>
        </w:rPr>
        <w:t xml:space="preserve"> тис. гривень; по спеціальному фонду </w:t>
      </w:r>
      <w:r w:rsidR="00785C2C" w:rsidRPr="0011430E">
        <w:rPr>
          <w:sz w:val="26"/>
          <w:szCs w:val="26"/>
        </w:rPr>
        <w:t>460,0</w:t>
      </w:r>
      <w:r w:rsidR="00D24EB8" w:rsidRPr="0011430E">
        <w:rPr>
          <w:sz w:val="26"/>
          <w:szCs w:val="26"/>
        </w:rPr>
        <w:t xml:space="preserve"> тис. гривень (</w:t>
      </w:r>
      <w:r w:rsidR="00D24EB8" w:rsidRPr="0011430E">
        <w:rPr>
          <w:i/>
          <w:sz w:val="26"/>
          <w:szCs w:val="26"/>
        </w:rPr>
        <w:t>платні послуги</w:t>
      </w:r>
      <w:r w:rsidR="00D24EB8" w:rsidRPr="0011430E">
        <w:rPr>
          <w:sz w:val="26"/>
          <w:szCs w:val="26"/>
        </w:rPr>
        <w:t>).</w:t>
      </w:r>
    </w:p>
    <w:p w:rsidR="0087214D" w:rsidRPr="0011430E" w:rsidRDefault="001040AB" w:rsidP="00D24EB8">
      <w:pPr>
        <w:ind w:firstLine="567"/>
        <w:jc w:val="both"/>
        <w:rPr>
          <w:sz w:val="26"/>
          <w:szCs w:val="26"/>
        </w:rPr>
      </w:pPr>
      <w:r w:rsidRPr="001040AB">
        <w:rPr>
          <w:bCs/>
          <w:sz w:val="26"/>
          <w:szCs w:val="26"/>
        </w:rPr>
        <w:t>На</w:t>
      </w:r>
      <w:r>
        <w:rPr>
          <w:b/>
          <w:sz w:val="26"/>
          <w:szCs w:val="26"/>
        </w:rPr>
        <w:t xml:space="preserve"> з</w:t>
      </w:r>
      <w:r w:rsidR="00D24EB8" w:rsidRPr="0011430E">
        <w:rPr>
          <w:b/>
          <w:sz w:val="26"/>
          <w:szCs w:val="26"/>
        </w:rPr>
        <w:t>абезпечення діяльності інших закладів</w:t>
      </w:r>
      <w:r w:rsidR="00D24EB8" w:rsidRPr="0011430E">
        <w:rPr>
          <w:sz w:val="26"/>
          <w:szCs w:val="26"/>
        </w:rPr>
        <w:t xml:space="preserve"> </w:t>
      </w:r>
      <w:r w:rsidR="00D24EB8" w:rsidRPr="0011430E">
        <w:rPr>
          <w:b/>
          <w:bCs/>
          <w:sz w:val="26"/>
          <w:szCs w:val="26"/>
        </w:rPr>
        <w:t>у галузі культури і мистецтва</w:t>
      </w:r>
      <w:r w:rsidR="00D24EB8" w:rsidRPr="0011430E">
        <w:rPr>
          <w:sz w:val="26"/>
          <w:szCs w:val="26"/>
        </w:rPr>
        <w:t xml:space="preserve"> </w:t>
      </w:r>
      <w:r w:rsidR="00CB01D8" w:rsidRPr="0011430E">
        <w:rPr>
          <w:sz w:val="26"/>
          <w:szCs w:val="26"/>
        </w:rPr>
        <w:t>(</w:t>
      </w:r>
      <w:r w:rsidR="00CB01D8" w:rsidRPr="0011430E">
        <w:rPr>
          <w:b/>
          <w:i/>
          <w:sz w:val="26"/>
          <w:szCs w:val="26"/>
        </w:rPr>
        <w:t>КЗ</w:t>
      </w:r>
      <w:r w:rsidR="00CB01D8" w:rsidRPr="0011430E">
        <w:rPr>
          <w:sz w:val="26"/>
          <w:szCs w:val="26"/>
        </w:rPr>
        <w:t xml:space="preserve"> «</w:t>
      </w:r>
      <w:r w:rsidR="00CB01D8" w:rsidRPr="0011430E">
        <w:rPr>
          <w:b/>
          <w:i/>
          <w:sz w:val="26"/>
          <w:szCs w:val="26"/>
        </w:rPr>
        <w:t>Центр культурних послуг», централізована бухгалтерія</w:t>
      </w:r>
      <w:r w:rsidR="00CB01D8" w:rsidRPr="0011430E">
        <w:rPr>
          <w:sz w:val="26"/>
          <w:szCs w:val="26"/>
        </w:rPr>
        <w:t>)</w:t>
      </w:r>
      <w:r>
        <w:rPr>
          <w:sz w:val="26"/>
          <w:szCs w:val="26"/>
        </w:rPr>
        <w:t xml:space="preserve"> затверджені кошти</w:t>
      </w:r>
      <w:r w:rsidR="00CB01D8" w:rsidRPr="0011430E">
        <w:rPr>
          <w:sz w:val="26"/>
          <w:szCs w:val="26"/>
        </w:rPr>
        <w:t xml:space="preserve"> </w:t>
      </w:r>
      <w:r w:rsidR="00D24EB8" w:rsidRPr="0011430E">
        <w:rPr>
          <w:sz w:val="26"/>
          <w:szCs w:val="26"/>
        </w:rPr>
        <w:t>у сумі 14</w:t>
      </w:r>
      <w:r w:rsidR="0087214D" w:rsidRPr="0011430E">
        <w:rPr>
          <w:sz w:val="26"/>
          <w:szCs w:val="26"/>
        </w:rPr>
        <w:t> </w:t>
      </w:r>
      <w:r w:rsidR="00D24EB8" w:rsidRPr="0011430E">
        <w:rPr>
          <w:sz w:val="26"/>
          <w:szCs w:val="26"/>
        </w:rPr>
        <w:t>4</w:t>
      </w:r>
      <w:r w:rsidR="0087214D" w:rsidRPr="0011430E">
        <w:rPr>
          <w:sz w:val="26"/>
          <w:szCs w:val="26"/>
        </w:rPr>
        <w:t>51,1</w:t>
      </w:r>
      <w:r w:rsidR="00D24EB8" w:rsidRPr="0011430E">
        <w:rPr>
          <w:sz w:val="26"/>
          <w:szCs w:val="26"/>
        </w:rPr>
        <w:t xml:space="preserve"> тис. гривень, з них по загальному фонду 1</w:t>
      </w:r>
      <w:r w:rsidR="0087214D" w:rsidRPr="0011430E">
        <w:rPr>
          <w:sz w:val="26"/>
          <w:szCs w:val="26"/>
        </w:rPr>
        <w:t>4 </w:t>
      </w:r>
      <w:r w:rsidR="0040325F" w:rsidRPr="0011430E">
        <w:rPr>
          <w:sz w:val="26"/>
          <w:szCs w:val="26"/>
        </w:rPr>
        <w:t>1</w:t>
      </w:r>
      <w:r w:rsidR="0087214D" w:rsidRPr="0011430E">
        <w:rPr>
          <w:sz w:val="26"/>
          <w:szCs w:val="26"/>
        </w:rPr>
        <w:t>61,1</w:t>
      </w:r>
      <w:r w:rsidR="00D24EB8" w:rsidRPr="0011430E">
        <w:rPr>
          <w:sz w:val="26"/>
          <w:szCs w:val="26"/>
        </w:rPr>
        <w:t xml:space="preserve"> тис. гривень, в тому числі оплата праці з нарахуванням у сумі </w:t>
      </w:r>
      <w:r w:rsidR="006035EF" w:rsidRPr="0011430E">
        <w:rPr>
          <w:sz w:val="26"/>
          <w:szCs w:val="26"/>
        </w:rPr>
        <w:t>10 114,0</w:t>
      </w:r>
      <w:r w:rsidR="00D24EB8" w:rsidRPr="0011430E">
        <w:rPr>
          <w:sz w:val="26"/>
          <w:szCs w:val="26"/>
        </w:rPr>
        <w:t xml:space="preserve"> тис. гривень, комунальні послуги та енергоносії у сумі </w:t>
      </w:r>
      <w:r w:rsidR="006035EF" w:rsidRPr="0011430E">
        <w:rPr>
          <w:sz w:val="26"/>
          <w:szCs w:val="26"/>
        </w:rPr>
        <w:t>2 597,5</w:t>
      </w:r>
      <w:r w:rsidR="00D24EB8" w:rsidRPr="0011430E">
        <w:rPr>
          <w:sz w:val="26"/>
          <w:szCs w:val="26"/>
        </w:rPr>
        <w:t xml:space="preserve"> тис. гривень; по спеціальному фонду передбачено кошти в сумі </w:t>
      </w:r>
      <w:r w:rsidR="0087214D" w:rsidRPr="0011430E">
        <w:rPr>
          <w:sz w:val="26"/>
          <w:szCs w:val="26"/>
        </w:rPr>
        <w:t>90,0</w:t>
      </w:r>
      <w:r w:rsidR="00D24EB8" w:rsidRPr="0011430E">
        <w:rPr>
          <w:sz w:val="26"/>
          <w:szCs w:val="26"/>
        </w:rPr>
        <w:t xml:space="preserve"> тис. гривень, платні послуги</w:t>
      </w:r>
      <w:r w:rsidR="0087214D" w:rsidRPr="0011430E">
        <w:rPr>
          <w:sz w:val="26"/>
          <w:szCs w:val="26"/>
        </w:rPr>
        <w:t>.</w:t>
      </w:r>
      <w:r w:rsidR="00D24EB8" w:rsidRPr="0011430E">
        <w:rPr>
          <w:sz w:val="26"/>
          <w:szCs w:val="26"/>
        </w:rPr>
        <w:t xml:space="preserve"> </w:t>
      </w:r>
    </w:p>
    <w:p w:rsidR="009C2147" w:rsidRPr="0011430E" w:rsidRDefault="00D24EB8" w:rsidP="00D24EB8">
      <w:pPr>
        <w:ind w:firstLine="567"/>
        <w:jc w:val="both"/>
        <w:rPr>
          <w:sz w:val="26"/>
          <w:szCs w:val="26"/>
        </w:rPr>
      </w:pPr>
      <w:r w:rsidRPr="0011430E">
        <w:rPr>
          <w:b/>
          <w:i/>
          <w:sz w:val="26"/>
          <w:szCs w:val="26"/>
        </w:rPr>
        <w:t>Центр культурних послуг</w:t>
      </w:r>
      <w:r w:rsidR="00CB01D8" w:rsidRPr="0011430E">
        <w:rPr>
          <w:b/>
          <w:i/>
          <w:sz w:val="26"/>
          <w:szCs w:val="26"/>
        </w:rPr>
        <w:t>:</w:t>
      </w:r>
      <w:r w:rsidRPr="0011430E">
        <w:rPr>
          <w:b/>
          <w:sz w:val="26"/>
          <w:szCs w:val="26"/>
        </w:rPr>
        <w:t xml:space="preserve"> </w:t>
      </w:r>
      <w:r w:rsidRPr="0011430E">
        <w:rPr>
          <w:sz w:val="26"/>
          <w:szCs w:val="26"/>
        </w:rPr>
        <w:t>у сумі 1</w:t>
      </w:r>
      <w:r w:rsidR="009C2147" w:rsidRPr="0011430E">
        <w:rPr>
          <w:sz w:val="26"/>
          <w:szCs w:val="26"/>
        </w:rPr>
        <w:t>2 897,5</w:t>
      </w:r>
      <w:r w:rsidRPr="0011430E">
        <w:rPr>
          <w:sz w:val="26"/>
          <w:szCs w:val="26"/>
        </w:rPr>
        <w:t xml:space="preserve"> тис. гривень, з них по загальному фонду 1</w:t>
      </w:r>
      <w:r w:rsidR="006035EF" w:rsidRPr="0011430E">
        <w:rPr>
          <w:sz w:val="26"/>
          <w:szCs w:val="26"/>
        </w:rPr>
        <w:t>2</w:t>
      </w:r>
      <w:r w:rsidR="009C2147" w:rsidRPr="0011430E">
        <w:rPr>
          <w:sz w:val="26"/>
          <w:szCs w:val="26"/>
        </w:rPr>
        <w:t> </w:t>
      </w:r>
      <w:r w:rsidR="0040325F" w:rsidRPr="0011430E">
        <w:rPr>
          <w:sz w:val="26"/>
          <w:szCs w:val="26"/>
        </w:rPr>
        <w:t>6</w:t>
      </w:r>
      <w:r w:rsidR="009C2147" w:rsidRPr="0011430E">
        <w:rPr>
          <w:sz w:val="26"/>
          <w:szCs w:val="26"/>
        </w:rPr>
        <w:t>07,5</w:t>
      </w:r>
      <w:r w:rsidRPr="0011430E">
        <w:rPr>
          <w:sz w:val="26"/>
          <w:szCs w:val="26"/>
        </w:rPr>
        <w:t xml:space="preserve"> тис. гривень, в тому числі оплата праці з нарахуванням у сумі 8</w:t>
      </w:r>
      <w:r w:rsidR="006035EF" w:rsidRPr="0011430E">
        <w:rPr>
          <w:sz w:val="26"/>
          <w:szCs w:val="26"/>
        </w:rPr>
        <w:t> 650,0</w:t>
      </w:r>
      <w:r w:rsidRPr="0011430E">
        <w:rPr>
          <w:sz w:val="26"/>
          <w:szCs w:val="26"/>
        </w:rPr>
        <w:t xml:space="preserve"> </w:t>
      </w:r>
      <w:r w:rsidRPr="0011430E">
        <w:rPr>
          <w:sz w:val="26"/>
          <w:szCs w:val="26"/>
        </w:rPr>
        <w:lastRenderedPageBreak/>
        <w:t xml:space="preserve">тис. гривень, комунальні послуги та енергоносії у сумі </w:t>
      </w:r>
      <w:r w:rsidR="006035EF" w:rsidRPr="0011430E">
        <w:rPr>
          <w:sz w:val="26"/>
          <w:szCs w:val="26"/>
        </w:rPr>
        <w:t>2597,5</w:t>
      </w:r>
      <w:r w:rsidRPr="0011430E">
        <w:rPr>
          <w:sz w:val="26"/>
          <w:szCs w:val="26"/>
        </w:rPr>
        <w:t xml:space="preserve"> тис. гривень; по спеціальному фонду передбачено кошти в сумі </w:t>
      </w:r>
      <w:r w:rsidR="009C2147" w:rsidRPr="0011430E">
        <w:rPr>
          <w:sz w:val="26"/>
          <w:szCs w:val="26"/>
        </w:rPr>
        <w:t>90,0</w:t>
      </w:r>
      <w:r w:rsidRPr="0011430E">
        <w:rPr>
          <w:sz w:val="26"/>
          <w:szCs w:val="26"/>
        </w:rPr>
        <w:t xml:space="preserve"> тис. гривень </w:t>
      </w:r>
      <w:r w:rsidR="009C2147" w:rsidRPr="0011430E">
        <w:rPr>
          <w:sz w:val="26"/>
          <w:szCs w:val="26"/>
        </w:rPr>
        <w:t>платні послуги.</w:t>
      </w:r>
    </w:p>
    <w:p w:rsidR="00D24EB8" w:rsidRPr="0011430E" w:rsidRDefault="00CB01D8" w:rsidP="00D24EB8">
      <w:pPr>
        <w:ind w:firstLine="567"/>
        <w:jc w:val="both"/>
        <w:rPr>
          <w:sz w:val="26"/>
          <w:szCs w:val="26"/>
        </w:rPr>
      </w:pPr>
      <w:r w:rsidRPr="0011430E">
        <w:rPr>
          <w:b/>
          <w:i/>
          <w:sz w:val="26"/>
          <w:szCs w:val="26"/>
        </w:rPr>
        <w:t>Ц</w:t>
      </w:r>
      <w:r w:rsidR="00D24EB8" w:rsidRPr="0011430E">
        <w:rPr>
          <w:b/>
          <w:i/>
          <w:sz w:val="26"/>
          <w:szCs w:val="26"/>
        </w:rPr>
        <w:t>ентралізована бухгалтерія</w:t>
      </w:r>
      <w:r w:rsidRPr="0011430E">
        <w:rPr>
          <w:b/>
          <w:sz w:val="26"/>
          <w:szCs w:val="26"/>
        </w:rPr>
        <w:t xml:space="preserve">: </w:t>
      </w:r>
      <w:r w:rsidR="00D24EB8" w:rsidRPr="0011430E">
        <w:rPr>
          <w:sz w:val="26"/>
          <w:szCs w:val="26"/>
        </w:rPr>
        <w:t>у сумі 1</w:t>
      </w:r>
      <w:r w:rsidR="006035EF" w:rsidRPr="0011430E">
        <w:rPr>
          <w:sz w:val="26"/>
          <w:szCs w:val="26"/>
        </w:rPr>
        <w:t> 553,6</w:t>
      </w:r>
      <w:r w:rsidR="00D24EB8" w:rsidRPr="0011430E">
        <w:rPr>
          <w:sz w:val="26"/>
          <w:szCs w:val="26"/>
        </w:rPr>
        <w:t xml:space="preserve"> тис. гривень, в тому числі оплата праці з нарахуванням у сумі 1</w:t>
      </w:r>
      <w:r w:rsidR="006035EF" w:rsidRPr="0011430E">
        <w:rPr>
          <w:sz w:val="26"/>
          <w:szCs w:val="26"/>
        </w:rPr>
        <w:t> 464,0</w:t>
      </w:r>
      <w:r w:rsidR="00D24EB8" w:rsidRPr="0011430E">
        <w:rPr>
          <w:sz w:val="26"/>
          <w:szCs w:val="26"/>
        </w:rPr>
        <w:t xml:space="preserve"> тис. гривень.</w:t>
      </w:r>
    </w:p>
    <w:p w:rsidR="00D24EB8" w:rsidRPr="0011430E" w:rsidRDefault="00D24EB8" w:rsidP="00D24EB8">
      <w:pPr>
        <w:ind w:firstLine="567"/>
        <w:jc w:val="both"/>
        <w:rPr>
          <w:sz w:val="26"/>
          <w:szCs w:val="26"/>
        </w:rPr>
      </w:pPr>
      <w:r w:rsidRPr="0011430E">
        <w:rPr>
          <w:b/>
          <w:sz w:val="26"/>
          <w:szCs w:val="26"/>
        </w:rPr>
        <w:t>Інші заходи в галузі культури і мистецтва</w:t>
      </w:r>
      <w:r w:rsidRPr="0011430E">
        <w:rPr>
          <w:sz w:val="26"/>
          <w:szCs w:val="26"/>
        </w:rPr>
        <w:t xml:space="preserve"> у сумі </w:t>
      </w:r>
      <w:r w:rsidR="006F01E4" w:rsidRPr="0011430E">
        <w:rPr>
          <w:sz w:val="26"/>
          <w:szCs w:val="26"/>
        </w:rPr>
        <w:t>879,9</w:t>
      </w:r>
      <w:r w:rsidR="0031371B" w:rsidRPr="0011430E">
        <w:rPr>
          <w:sz w:val="26"/>
          <w:szCs w:val="26"/>
        </w:rPr>
        <w:t xml:space="preserve"> </w:t>
      </w:r>
      <w:r w:rsidRPr="0011430E">
        <w:rPr>
          <w:sz w:val="26"/>
          <w:szCs w:val="26"/>
        </w:rPr>
        <w:t xml:space="preserve"> тис. гривень.</w:t>
      </w:r>
    </w:p>
    <w:p w:rsidR="0031371B" w:rsidRPr="0011430E" w:rsidRDefault="00D24EB8" w:rsidP="00D24EB8">
      <w:pPr>
        <w:ind w:firstLine="567"/>
        <w:jc w:val="both"/>
        <w:rPr>
          <w:sz w:val="26"/>
          <w:szCs w:val="26"/>
        </w:rPr>
      </w:pPr>
      <w:r w:rsidRPr="0011430E">
        <w:rPr>
          <w:b/>
          <w:sz w:val="26"/>
          <w:szCs w:val="26"/>
        </w:rPr>
        <w:t xml:space="preserve">Підтримка спорту вищих досягнень та організацій, які здійснюють фізкультурно-спортивну діяльність в регіоні </w:t>
      </w:r>
      <w:r w:rsidRPr="0011430E">
        <w:rPr>
          <w:sz w:val="26"/>
          <w:szCs w:val="26"/>
        </w:rPr>
        <w:t>у сумі 2</w:t>
      </w:r>
      <w:r w:rsidR="0031371B" w:rsidRPr="0011430E">
        <w:rPr>
          <w:sz w:val="26"/>
          <w:szCs w:val="26"/>
        </w:rPr>
        <w:t>9 212,7</w:t>
      </w:r>
      <w:r w:rsidRPr="0011430E">
        <w:rPr>
          <w:sz w:val="26"/>
          <w:szCs w:val="26"/>
        </w:rPr>
        <w:t xml:space="preserve"> тис. гривень, з них по загальному фонду </w:t>
      </w:r>
      <w:r w:rsidR="006F01E4" w:rsidRPr="0011430E">
        <w:rPr>
          <w:sz w:val="26"/>
          <w:szCs w:val="26"/>
        </w:rPr>
        <w:t>2</w:t>
      </w:r>
      <w:r w:rsidR="0031371B" w:rsidRPr="0011430E">
        <w:rPr>
          <w:sz w:val="26"/>
          <w:szCs w:val="26"/>
        </w:rPr>
        <w:t>8 262,7</w:t>
      </w:r>
      <w:r w:rsidRPr="0011430E">
        <w:rPr>
          <w:sz w:val="26"/>
          <w:szCs w:val="26"/>
        </w:rPr>
        <w:t xml:space="preserve"> тис. гривень, по спеціальному фонду </w:t>
      </w:r>
      <w:r w:rsidR="0031371B" w:rsidRPr="0011430E">
        <w:rPr>
          <w:sz w:val="26"/>
          <w:szCs w:val="26"/>
        </w:rPr>
        <w:t>950,0</w:t>
      </w:r>
      <w:r w:rsidRPr="0011430E">
        <w:rPr>
          <w:sz w:val="26"/>
          <w:szCs w:val="26"/>
        </w:rPr>
        <w:t xml:space="preserve"> тис. гривень</w:t>
      </w:r>
      <w:r w:rsidR="0031371B" w:rsidRPr="0011430E">
        <w:rPr>
          <w:sz w:val="26"/>
          <w:szCs w:val="26"/>
        </w:rPr>
        <w:t xml:space="preserve"> платні послуги.</w:t>
      </w:r>
    </w:p>
    <w:p w:rsidR="00323C2C" w:rsidRPr="0011430E" w:rsidRDefault="00500EEE" w:rsidP="00D24EB8">
      <w:pPr>
        <w:ind w:firstLine="567"/>
        <w:jc w:val="both"/>
        <w:rPr>
          <w:sz w:val="26"/>
          <w:szCs w:val="26"/>
        </w:rPr>
      </w:pPr>
      <w:r>
        <w:rPr>
          <w:b/>
          <w:i/>
          <w:sz w:val="26"/>
          <w:szCs w:val="26"/>
        </w:rPr>
        <w:t xml:space="preserve">Утримання стадіону ім. Куца та </w:t>
      </w:r>
      <w:r w:rsidR="000A73F9" w:rsidRPr="0011430E">
        <w:rPr>
          <w:b/>
          <w:i/>
          <w:sz w:val="26"/>
          <w:szCs w:val="26"/>
        </w:rPr>
        <w:t xml:space="preserve">КЗ </w:t>
      </w:r>
      <w:r w:rsidR="00D24EB8" w:rsidRPr="0011430E">
        <w:rPr>
          <w:b/>
          <w:i/>
          <w:sz w:val="26"/>
          <w:szCs w:val="26"/>
        </w:rPr>
        <w:t>«Футбольний клуб «Тростянець»</w:t>
      </w:r>
      <w:r w:rsidR="000A73F9" w:rsidRPr="0011430E">
        <w:rPr>
          <w:b/>
          <w:i/>
          <w:sz w:val="26"/>
          <w:szCs w:val="26"/>
        </w:rPr>
        <w:t>:</w:t>
      </w:r>
      <w:r w:rsidR="00D24EB8" w:rsidRPr="0011430E">
        <w:rPr>
          <w:sz w:val="26"/>
          <w:szCs w:val="26"/>
        </w:rPr>
        <w:t xml:space="preserve"> видатки на 202</w:t>
      </w:r>
      <w:r w:rsidR="006F01E4" w:rsidRPr="0011430E">
        <w:rPr>
          <w:sz w:val="26"/>
          <w:szCs w:val="26"/>
        </w:rPr>
        <w:t>6</w:t>
      </w:r>
      <w:r w:rsidR="00D24EB8" w:rsidRPr="0011430E">
        <w:rPr>
          <w:sz w:val="26"/>
          <w:szCs w:val="26"/>
        </w:rPr>
        <w:t xml:space="preserve"> рік складають </w:t>
      </w:r>
      <w:r w:rsidR="00323C2C" w:rsidRPr="0011430E">
        <w:rPr>
          <w:sz w:val="26"/>
          <w:szCs w:val="26"/>
        </w:rPr>
        <w:t>23 769,2</w:t>
      </w:r>
      <w:r w:rsidR="00D24EB8" w:rsidRPr="0011430E">
        <w:rPr>
          <w:sz w:val="26"/>
          <w:szCs w:val="26"/>
        </w:rPr>
        <w:t xml:space="preserve"> тис. гривень, з них на оплату праці з нарахуваннями </w:t>
      </w:r>
      <w:r w:rsidR="006F01E4" w:rsidRPr="0011430E">
        <w:rPr>
          <w:sz w:val="26"/>
          <w:szCs w:val="26"/>
        </w:rPr>
        <w:t>15 145,1</w:t>
      </w:r>
      <w:r w:rsidR="00D24EB8" w:rsidRPr="0011430E">
        <w:rPr>
          <w:sz w:val="26"/>
          <w:szCs w:val="26"/>
        </w:rPr>
        <w:t xml:space="preserve"> тис. гривень, на комунальні послуги та енергоносії </w:t>
      </w:r>
      <w:r w:rsidR="006F01E4" w:rsidRPr="0011430E">
        <w:rPr>
          <w:sz w:val="26"/>
          <w:szCs w:val="26"/>
        </w:rPr>
        <w:t>530,5</w:t>
      </w:r>
      <w:r w:rsidR="00D24EB8" w:rsidRPr="0011430E">
        <w:rPr>
          <w:sz w:val="26"/>
          <w:szCs w:val="26"/>
        </w:rPr>
        <w:t xml:space="preserve"> тис. гривень; по спеціальному фонду передбачено кошти в сумі </w:t>
      </w:r>
      <w:r w:rsidR="00323C2C" w:rsidRPr="0011430E">
        <w:rPr>
          <w:sz w:val="26"/>
          <w:szCs w:val="26"/>
        </w:rPr>
        <w:t>300,0</w:t>
      </w:r>
      <w:r w:rsidR="00D24EB8" w:rsidRPr="0011430E">
        <w:rPr>
          <w:sz w:val="26"/>
          <w:szCs w:val="26"/>
        </w:rPr>
        <w:t xml:space="preserve"> тис. гривень</w:t>
      </w:r>
      <w:r w:rsidR="00323C2C" w:rsidRPr="0011430E">
        <w:rPr>
          <w:sz w:val="26"/>
          <w:szCs w:val="26"/>
        </w:rPr>
        <w:t xml:space="preserve"> </w:t>
      </w:r>
      <w:r w:rsidR="00777656">
        <w:rPr>
          <w:sz w:val="26"/>
          <w:szCs w:val="26"/>
        </w:rPr>
        <w:t>(</w:t>
      </w:r>
      <w:r w:rsidR="00323C2C" w:rsidRPr="0011430E">
        <w:rPr>
          <w:sz w:val="26"/>
          <w:szCs w:val="26"/>
        </w:rPr>
        <w:t>платні послуги</w:t>
      </w:r>
      <w:r w:rsidR="00777656">
        <w:rPr>
          <w:sz w:val="26"/>
          <w:szCs w:val="26"/>
        </w:rPr>
        <w:t>)</w:t>
      </w:r>
      <w:r w:rsidR="00323C2C" w:rsidRPr="0011430E">
        <w:rPr>
          <w:sz w:val="26"/>
          <w:szCs w:val="26"/>
        </w:rPr>
        <w:t>.</w:t>
      </w:r>
    </w:p>
    <w:p w:rsidR="00D24EB8" w:rsidRPr="00F104D2" w:rsidRDefault="000A73F9" w:rsidP="00D24EB8">
      <w:pPr>
        <w:ind w:firstLine="567"/>
        <w:jc w:val="both"/>
        <w:rPr>
          <w:sz w:val="26"/>
          <w:szCs w:val="26"/>
        </w:rPr>
      </w:pPr>
      <w:r w:rsidRPr="00F104D2">
        <w:rPr>
          <w:b/>
          <w:i/>
          <w:sz w:val="26"/>
          <w:szCs w:val="26"/>
        </w:rPr>
        <w:t>КЗ «А</w:t>
      </w:r>
      <w:r w:rsidR="00D24EB8" w:rsidRPr="00F104D2">
        <w:rPr>
          <w:b/>
          <w:i/>
          <w:sz w:val="26"/>
          <w:szCs w:val="26"/>
        </w:rPr>
        <w:t>кадемі</w:t>
      </w:r>
      <w:r w:rsidRPr="00F104D2">
        <w:rPr>
          <w:b/>
          <w:i/>
          <w:sz w:val="26"/>
          <w:szCs w:val="26"/>
        </w:rPr>
        <w:t>я</w:t>
      </w:r>
      <w:r w:rsidR="00D24EB8" w:rsidRPr="00F104D2">
        <w:rPr>
          <w:b/>
          <w:i/>
          <w:sz w:val="26"/>
          <w:szCs w:val="26"/>
        </w:rPr>
        <w:t xml:space="preserve"> спорту</w:t>
      </w:r>
      <w:r w:rsidRPr="00F104D2">
        <w:rPr>
          <w:b/>
          <w:i/>
          <w:sz w:val="26"/>
          <w:szCs w:val="26"/>
        </w:rPr>
        <w:t>»:</w:t>
      </w:r>
      <w:r w:rsidR="00D24EB8" w:rsidRPr="00F104D2">
        <w:rPr>
          <w:sz w:val="26"/>
          <w:szCs w:val="26"/>
        </w:rPr>
        <w:t xml:space="preserve"> на 202</w:t>
      </w:r>
      <w:r w:rsidR="006F01E4" w:rsidRPr="00F104D2">
        <w:rPr>
          <w:sz w:val="26"/>
          <w:szCs w:val="26"/>
        </w:rPr>
        <w:t>6</w:t>
      </w:r>
      <w:r w:rsidR="00D24EB8" w:rsidRPr="00F104D2">
        <w:rPr>
          <w:sz w:val="26"/>
          <w:szCs w:val="26"/>
        </w:rPr>
        <w:t xml:space="preserve"> рік видатки складають </w:t>
      </w:r>
      <w:r w:rsidR="00323C2C" w:rsidRPr="00F104D2">
        <w:rPr>
          <w:sz w:val="26"/>
          <w:szCs w:val="26"/>
        </w:rPr>
        <w:t xml:space="preserve">5 443,5 </w:t>
      </w:r>
      <w:r w:rsidR="00D24EB8" w:rsidRPr="00F104D2">
        <w:rPr>
          <w:sz w:val="26"/>
          <w:szCs w:val="26"/>
        </w:rPr>
        <w:t xml:space="preserve">тис. гривень, з них по загальному фонду </w:t>
      </w:r>
      <w:r w:rsidR="00323C2C" w:rsidRPr="00F104D2">
        <w:rPr>
          <w:sz w:val="26"/>
          <w:szCs w:val="26"/>
        </w:rPr>
        <w:t>4 7</w:t>
      </w:r>
      <w:r w:rsidR="006F01E4" w:rsidRPr="00F104D2">
        <w:rPr>
          <w:sz w:val="26"/>
          <w:szCs w:val="26"/>
        </w:rPr>
        <w:t>93,5</w:t>
      </w:r>
      <w:r w:rsidR="00D24EB8" w:rsidRPr="00F104D2">
        <w:rPr>
          <w:sz w:val="26"/>
          <w:szCs w:val="26"/>
        </w:rPr>
        <w:t xml:space="preserve"> тис. гривень, в тому числі оплата праці з нарахуванням 2</w:t>
      </w:r>
      <w:r w:rsidR="006F01E4" w:rsidRPr="00F104D2">
        <w:rPr>
          <w:sz w:val="26"/>
          <w:szCs w:val="26"/>
        </w:rPr>
        <w:t xml:space="preserve"> 318,0 </w:t>
      </w:r>
      <w:r w:rsidR="00D24EB8" w:rsidRPr="00F104D2">
        <w:rPr>
          <w:sz w:val="26"/>
          <w:szCs w:val="26"/>
        </w:rPr>
        <w:t xml:space="preserve">тис. гривень, комунальні послуги та енергоносії 288,8 тис. гривень, платні послуги – </w:t>
      </w:r>
      <w:r w:rsidR="00323C2C" w:rsidRPr="00F104D2">
        <w:rPr>
          <w:sz w:val="26"/>
          <w:szCs w:val="26"/>
        </w:rPr>
        <w:t>650,0</w:t>
      </w:r>
      <w:r w:rsidR="00D24EB8" w:rsidRPr="00F104D2">
        <w:rPr>
          <w:sz w:val="26"/>
          <w:szCs w:val="26"/>
        </w:rPr>
        <w:t xml:space="preserve"> тис. гривень.</w:t>
      </w:r>
    </w:p>
    <w:p w:rsidR="00F66F9C" w:rsidRPr="00F104D2" w:rsidRDefault="00F66F9C" w:rsidP="00D24EB8">
      <w:pPr>
        <w:ind w:firstLine="567"/>
        <w:jc w:val="both"/>
        <w:rPr>
          <w:sz w:val="26"/>
          <w:szCs w:val="26"/>
        </w:rPr>
      </w:pPr>
    </w:p>
    <w:p w:rsidR="00BC3882" w:rsidRPr="00F104D2" w:rsidRDefault="00F66F9C" w:rsidP="0011430E">
      <w:pPr>
        <w:ind w:firstLine="567"/>
        <w:jc w:val="both"/>
        <w:rPr>
          <w:b/>
          <w:bCs/>
          <w:sz w:val="26"/>
          <w:szCs w:val="26"/>
        </w:rPr>
      </w:pPr>
      <w:r w:rsidRPr="00F104D2">
        <w:rPr>
          <w:b/>
          <w:bCs/>
          <w:sz w:val="26"/>
          <w:szCs w:val="26"/>
        </w:rPr>
        <w:t xml:space="preserve">Обсяг публічних інвестицій на 2026 рік заплановано в сумі </w:t>
      </w:r>
      <w:r w:rsidR="00BC3882" w:rsidRPr="00F104D2">
        <w:rPr>
          <w:b/>
          <w:bCs/>
          <w:sz w:val="26"/>
          <w:szCs w:val="26"/>
        </w:rPr>
        <w:t>4200,0</w:t>
      </w:r>
      <w:r w:rsidRPr="00F104D2">
        <w:rPr>
          <w:b/>
          <w:bCs/>
          <w:sz w:val="26"/>
          <w:szCs w:val="26"/>
        </w:rPr>
        <w:t xml:space="preserve"> тис. гривень</w:t>
      </w:r>
      <w:r w:rsidR="00777656">
        <w:rPr>
          <w:b/>
          <w:bCs/>
          <w:sz w:val="26"/>
          <w:szCs w:val="26"/>
        </w:rPr>
        <w:t>, у тому числі:</w:t>
      </w:r>
      <w:r w:rsidR="00C22E1C" w:rsidRPr="00F104D2">
        <w:rPr>
          <w:b/>
          <w:bCs/>
          <w:sz w:val="26"/>
          <w:szCs w:val="26"/>
        </w:rPr>
        <w:t xml:space="preserve"> </w:t>
      </w:r>
    </w:p>
    <w:p w:rsidR="00C22E1C" w:rsidRPr="00F104D2" w:rsidRDefault="00777656" w:rsidP="00BC3882">
      <w:pPr>
        <w:ind w:firstLine="708"/>
        <w:jc w:val="both"/>
        <w:rPr>
          <w:sz w:val="26"/>
          <w:szCs w:val="26"/>
        </w:rPr>
      </w:pPr>
      <w:r>
        <w:rPr>
          <w:sz w:val="26"/>
          <w:szCs w:val="26"/>
        </w:rPr>
        <w:t>- р</w:t>
      </w:r>
      <w:r w:rsidR="00C22E1C" w:rsidRPr="00F104D2">
        <w:rPr>
          <w:sz w:val="26"/>
          <w:szCs w:val="26"/>
        </w:rPr>
        <w:t>еконструкція танцювального залу із прибудовою до будинку культури СБК Семереньки</w:t>
      </w:r>
      <w:r w:rsidR="00543B85" w:rsidRPr="00F104D2">
        <w:rPr>
          <w:sz w:val="26"/>
          <w:szCs w:val="26"/>
        </w:rPr>
        <w:t xml:space="preserve"> – 2500,0 тис. гривень;</w:t>
      </w:r>
    </w:p>
    <w:p w:rsidR="00F104D2" w:rsidRPr="00F104D2" w:rsidRDefault="00777656" w:rsidP="00BC3882">
      <w:pPr>
        <w:ind w:firstLine="567"/>
        <w:jc w:val="both"/>
        <w:rPr>
          <w:sz w:val="26"/>
          <w:szCs w:val="26"/>
        </w:rPr>
      </w:pPr>
      <w:r>
        <w:rPr>
          <w:sz w:val="26"/>
          <w:szCs w:val="26"/>
        </w:rPr>
        <w:t xml:space="preserve">- </w:t>
      </w:r>
      <w:r w:rsidR="00C22E1C" w:rsidRPr="00F104D2">
        <w:rPr>
          <w:sz w:val="26"/>
          <w:szCs w:val="26"/>
        </w:rPr>
        <w:t>ПКД "Нове буд</w:t>
      </w:r>
      <w:r w:rsidR="00500EEE" w:rsidRPr="00F104D2">
        <w:rPr>
          <w:sz w:val="26"/>
          <w:szCs w:val="26"/>
        </w:rPr>
        <w:t>івництво резервної модульної тр</w:t>
      </w:r>
      <w:r w:rsidR="00C22E1C" w:rsidRPr="00F104D2">
        <w:rPr>
          <w:sz w:val="26"/>
          <w:szCs w:val="26"/>
        </w:rPr>
        <w:t>анспортабельної тепл</w:t>
      </w:r>
      <w:r w:rsidR="00543B85" w:rsidRPr="00F104D2">
        <w:rPr>
          <w:sz w:val="26"/>
          <w:szCs w:val="26"/>
        </w:rPr>
        <w:t>о</w:t>
      </w:r>
      <w:r w:rsidR="00C22E1C" w:rsidRPr="00F104D2">
        <w:rPr>
          <w:sz w:val="26"/>
          <w:szCs w:val="26"/>
        </w:rPr>
        <w:t>генераторної котельні Білківський СБК</w:t>
      </w:r>
      <w:r w:rsidR="00F51FD8">
        <w:rPr>
          <w:sz w:val="26"/>
          <w:szCs w:val="26"/>
        </w:rPr>
        <w:t>»</w:t>
      </w:r>
      <w:r w:rsidR="00500EEE" w:rsidRPr="00F104D2">
        <w:rPr>
          <w:sz w:val="26"/>
          <w:szCs w:val="26"/>
        </w:rPr>
        <w:t xml:space="preserve"> </w:t>
      </w:r>
      <w:r w:rsidR="00543B85" w:rsidRPr="00F104D2">
        <w:rPr>
          <w:sz w:val="26"/>
          <w:szCs w:val="26"/>
        </w:rPr>
        <w:t>- 200,0 тис. гривень;</w:t>
      </w:r>
    </w:p>
    <w:p w:rsidR="00AA064D" w:rsidRPr="00F104D2" w:rsidRDefault="00777656" w:rsidP="00BC3882">
      <w:pPr>
        <w:ind w:firstLine="567"/>
        <w:jc w:val="both"/>
        <w:rPr>
          <w:sz w:val="26"/>
          <w:szCs w:val="26"/>
        </w:rPr>
      </w:pPr>
      <w:r>
        <w:rPr>
          <w:sz w:val="26"/>
          <w:szCs w:val="26"/>
        </w:rPr>
        <w:t>- р</w:t>
      </w:r>
      <w:r w:rsidR="00AA064D" w:rsidRPr="00F104D2">
        <w:rPr>
          <w:sz w:val="26"/>
          <w:szCs w:val="26"/>
        </w:rPr>
        <w:t>еконструкція адмін</w:t>
      </w:r>
      <w:r w:rsidR="0068612B">
        <w:rPr>
          <w:sz w:val="26"/>
          <w:szCs w:val="26"/>
        </w:rPr>
        <w:t xml:space="preserve">істративної </w:t>
      </w:r>
      <w:r w:rsidR="00AA064D" w:rsidRPr="00F104D2">
        <w:rPr>
          <w:sz w:val="26"/>
          <w:szCs w:val="26"/>
        </w:rPr>
        <w:t>будівлі за адресою вул. Кеніга,11 – 1500,0 тис. гривень.</w:t>
      </w:r>
    </w:p>
    <w:p w:rsidR="00A57765" w:rsidRDefault="00A57765" w:rsidP="00A57765">
      <w:pPr>
        <w:rPr>
          <w:b/>
          <w:bCs/>
          <w:iCs/>
          <w:sz w:val="26"/>
          <w:szCs w:val="26"/>
          <w:u w:val="single"/>
        </w:rPr>
      </w:pPr>
    </w:p>
    <w:p w:rsidR="00F104D2" w:rsidRDefault="00BA4F72" w:rsidP="00BA4F72">
      <w:pPr>
        <w:jc w:val="center"/>
        <w:rPr>
          <w:b/>
          <w:bCs/>
          <w:iCs/>
          <w:sz w:val="26"/>
          <w:szCs w:val="26"/>
          <w:u w:val="single"/>
        </w:rPr>
      </w:pPr>
      <w:r w:rsidRPr="0011430E">
        <w:rPr>
          <w:b/>
          <w:bCs/>
          <w:iCs/>
          <w:sz w:val="26"/>
          <w:szCs w:val="26"/>
          <w:u w:val="single"/>
        </w:rPr>
        <w:t xml:space="preserve">Головний розпорядник коштів </w:t>
      </w:r>
    </w:p>
    <w:p w:rsidR="00BA4F72" w:rsidRPr="0011430E" w:rsidRDefault="00BA4F72" w:rsidP="00BA4F72">
      <w:pPr>
        <w:jc w:val="center"/>
        <w:rPr>
          <w:b/>
          <w:bCs/>
          <w:iCs/>
          <w:sz w:val="26"/>
          <w:szCs w:val="26"/>
          <w:u w:val="single"/>
        </w:rPr>
      </w:pPr>
      <w:r w:rsidRPr="0011430E">
        <w:rPr>
          <w:b/>
          <w:bCs/>
          <w:iCs/>
          <w:sz w:val="26"/>
          <w:szCs w:val="26"/>
          <w:u w:val="single"/>
        </w:rPr>
        <w:t>«Управління будівництва, містобудування та архітектури Тростянецької міської ради»</w:t>
      </w:r>
    </w:p>
    <w:p w:rsidR="005F468B" w:rsidRPr="0011430E" w:rsidRDefault="005F468B" w:rsidP="005F468B">
      <w:pPr>
        <w:pStyle w:val="ac"/>
        <w:suppressAutoHyphens/>
        <w:ind w:firstLine="567"/>
        <w:jc w:val="both"/>
        <w:rPr>
          <w:sz w:val="26"/>
          <w:szCs w:val="26"/>
        </w:rPr>
      </w:pPr>
    </w:p>
    <w:p w:rsidR="005F468B" w:rsidRPr="0011430E" w:rsidRDefault="005F468B" w:rsidP="005F468B">
      <w:pPr>
        <w:pStyle w:val="ac"/>
        <w:suppressAutoHyphens/>
        <w:ind w:firstLine="567"/>
        <w:jc w:val="both"/>
        <w:rPr>
          <w:b/>
          <w:bCs/>
          <w:iCs/>
          <w:sz w:val="26"/>
          <w:szCs w:val="26"/>
        </w:rPr>
      </w:pPr>
      <w:r w:rsidRPr="0011430E">
        <w:rPr>
          <w:sz w:val="26"/>
          <w:szCs w:val="26"/>
        </w:rPr>
        <w:t>Видатки бюджету</w:t>
      </w:r>
      <w:r w:rsidRPr="0011430E">
        <w:rPr>
          <w:bCs/>
          <w:sz w:val="26"/>
          <w:szCs w:val="26"/>
        </w:rPr>
        <w:t xml:space="preserve"> Тростянецької міської територіальної громади на</w:t>
      </w:r>
      <w:r w:rsidRPr="0011430E">
        <w:rPr>
          <w:sz w:val="26"/>
          <w:szCs w:val="26"/>
        </w:rPr>
        <w:t xml:space="preserve"> 2026 рік затверджені в сумі 7 077,9 гривень, з них по загальному фонду – 6177,9 тис. гривень, в тому числі на заробітну плату з нарахуванням 3 549,2 тис. гривень, комунальні послуги та енергоносії на суму 62,4 тис. гривень та по спеціальному фонду – 900,0 тис. гривень.</w:t>
      </w:r>
    </w:p>
    <w:p w:rsidR="00BA4F72" w:rsidRPr="0011430E" w:rsidRDefault="00BA4F72" w:rsidP="00BA4F72">
      <w:pPr>
        <w:ind w:firstLine="567"/>
        <w:jc w:val="both"/>
        <w:rPr>
          <w:sz w:val="26"/>
          <w:szCs w:val="26"/>
        </w:rPr>
      </w:pPr>
      <w:r w:rsidRPr="0011430E">
        <w:rPr>
          <w:b/>
          <w:sz w:val="26"/>
          <w:szCs w:val="26"/>
        </w:rPr>
        <w:t xml:space="preserve">Видатки на апарат </w:t>
      </w:r>
      <w:r w:rsidRPr="00500EEE">
        <w:rPr>
          <w:sz w:val="26"/>
          <w:szCs w:val="26"/>
        </w:rPr>
        <w:t xml:space="preserve">передбачені </w:t>
      </w:r>
      <w:r w:rsidRPr="0011430E">
        <w:rPr>
          <w:sz w:val="26"/>
          <w:szCs w:val="26"/>
        </w:rPr>
        <w:t xml:space="preserve"> у сумі </w:t>
      </w:r>
      <w:r w:rsidR="00600464" w:rsidRPr="0011430E">
        <w:rPr>
          <w:sz w:val="26"/>
          <w:szCs w:val="26"/>
        </w:rPr>
        <w:t>3 953,4</w:t>
      </w:r>
      <w:r w:rsidRPr="0011430E">
        <w:rPr>
          <w:sz w:val="26"/>
          <w:szCs w:val="26"/>
        </w:rPr>
        <w:t xml:space="preserve"> тис. гривень</w:t>
      </w:r>
      <w:r w:rsidR="00DA653A">
        <w:rPr>
          <w:sz w:val="26"/>
          <w:szCs w:val="26"/>
        </w:rPr>
        <w:t>,</w:t>
      </w:r>
      <w:r w:rsidRPr="0011430E">
        <w:rPr>
          <w:sz w:val="26"/>
          <w:szCs w:val="26"/>
        </w:rPr>
        <w:t xml:space="preserve"> в тому числі оплата праці з нарахуванням у сумі 3 549,2 тис. гривень, комунальні послуги та енергоносії у сумі 62,4 тис. гривень. </w:t>
      </w:r>
    </w:p>
    <w:p w:rsidR="00600464" w:rsidRPr="0011430E" w:rsidRDefault="00DA653A" w:rsidP="00BA4F72">
      <w:pPr>
        <w:ind w:firstLine="567"/>
        <w:jc w:val="both"/>
        <w:rPr>
          <w:sz w:val="26"/>
          <w:szCs w:val="26"/>
        </w:rPr>
      </w:pPr>
      <w:r>
        <w:rPr>
          <w:b/>
          <w:bCs/>
          <w:sz w:val="26"/>
          <w:szCs w:val="26"/>
        </w:rPr>
        <w:t>На п</w:t>
      </w:r>
      <w:r w:rsidR="00600464" w:rsidRPr="0011430E">
        <w:rPr>
          <w:b/>
          <w:bCs/>
          <w:sz w:val="26"/>
          <w:szCs w:val="26"/>
        </w:rPr>
        <w:t>роектування, реставрація та охорона пам’яток культурної спадщини</w:t>
      </w:r>
      <w:r w:rsidR="00600464" w:rsidRPr="0011430E">
        <w:rPr>
          <w:sz w:val="26"/>
          <w:szCs w:val="26"/>
        </w:rPr>
        <w:t xml:space="preserve"> </w:t>
      </w:r>
      <w:r w:rsidR="00320A1B" w:rsidRPr="0011430E">
        <w:rPr>
          <w:sz w:val="26"/>
          <w:szCs w:val="26"/>
        </w:rPr>
        <w:t>по загальному</w:t>
      </w:r>
      <w:r>
        <w:rPr>
          <w:sz w:val="26"/>
          <w:szCs w:val="26"/>
        </w:rPr>
        <w:t xml:space="preserve"> фонду передбачені кошти</w:t>
      </w:r>
      <w:r w:rsidR="00320A1B" w:rsidRPr="0011430E">
        <w:rPr>
          <w:sz w:val="26"/>
          <w:szCs w:val="26"/>
        </w:rPr>
        <w:t xml:space="preserve"> </w:t>
      </w:r>
      <w:r w:rsidR="00600464" w:rsidRPr="0011430E">
        <w:rPr>
          <w:sz w:val="26"/>
          <w:szCs w:val="26"/>
        </w:rPr>
        <w:t>у сумі 1 650,0 тис. гривень.</w:t>
      </w:r>
    </w:p>
    <w:p w:rsidR="00432787" w:rsidRPr="0011430E" w:rsidRDefault="00DA653A" w:rsidP="00432787">
      <w:pPr>
        <w:ind w:firstLine="567"/>
        <w:jc w:val="both"/>
        <w:rPr>
          <w:sz w:val="26"/>
          <w:szCs w:val="26"/>
        </w:rPr>
      </w:pPr>
      <w:r>
        <w:rPr>
          <w:sz w:val="26"/>
          <w:szCs w:val="26"/>
        </w:rPr>
        <w:t>На і</w:t>
      </w:r>
      <w:r w:rsidR="00432787" w:rsidRPr="0011430E">
        <w:rPr>
          <w:b/>
          <w:sz w:val="26"/>
          <w:szCs w:val="26"/>
        </w:rPr>
        <w:t>нш</w:t>
      </w:r>
      <w:r>
        <w:rPr>
          <w:b/>
          <w:sz w:val="26"/>
          <w:szCs w:val="26"/>
        </w:rPr>
        <w:t>у</w:t>
      </w:r>
      <w:r w:rsidR="00432787" w:rsidRPr="0011430E">
        <w:rPr>
          <w:b/>
          <w:sz w:val="26"/>
          <w:szCs w:val="26"/>
        </w:rPr>
        <w:t xml:space="preserve"> діяльність у сфері житлово-комунального господарства</w:t>
      </w:r>
      <w:r w:rsidR="00320A1B" w:rsidRPr="0011430E">
        <w:rPr>
          <w:b/>
          <w:sz w:val="26"/>
          <w:szCs w:val="26"/>
        </w:rPr>
        <w:t xml:space="preserve"> по загальному фонду</w:t>
      </w:r>
      <w:r>
        <w:rPr>
          <w:b/>
          <w:sz w:val="26"/>
          <w:szCs w:val="26"/>
        </w:rPr>
        <w:t xml:space="preserve"> </w:t>
      </w:r>
      <w:r w:rsidRPr="00DA653A">
        <w:rPr>
          <w:bCs/>
          <w:sz w:val="26"/>
          <w:szCs w:val="26"/>
        </w:rPr>
        <w:t>передбачені кошти</w:t>
      </w:r>
      <w:r w:rsidR="00432787" w:rsidRPr="0011430E">
        <w:rPr>
          <w:sz w:val="26"/>
          <w:szCs w:val="26"/>
        </w:rPr>
        <w:t xml:space="preserve"> у сумі </w:t>
      </w:r>
      <w:r w:rsidR="00320A1B" w:rsidRPr="0011430E">
        <w:rPr>
          <w:sz w:val="26"/>
          <w:szCs w:val="26"/>
        </w:rPr>
        <w:t>574,5</w:t>
      </w:r>
      <w:r w:rsidR="00432787" w:rsidRPr="0011430E">
        <w:rPr>
          <w:sz w:val="26"/>
          <w:szCs w:val="26"/>
        </w:rPr>
        <w:t xml:space="preserve"> тис. гривень.</w:t>
      </w:r>
    </w:p>
    <w:p w:rsidR="00320A1B" w:rsidRPr="0011430E" w:rsidRDefault="00DA653A" w:rsidP="00432787">
      <w:pPr>
        <w:ind w:firstLine="567"/>
        <w:jc w:val="both"/>
        <w:rPr>
          <w:sz w:val="26"/>
          <w:szCs w:val="26"/>
        </w:rPr>
      </w:pPr>
      <w:r>
        <w:rPr>
          <w:b/>
          <w:bCs/>
          <w:sz w:val="26"/>
          <w:szCs w:val="26"/>
        </w:rPr>
        <w:t>На р</w:t>
      </w:r>
      <w:r w:rsidR="00320A1B" w:rsidRPr="0011430E">
        <w:rPr>
          <w:b/>
          <w:bCs/>
          <w:sz w:val="26"/>
          <w:szCs w:val="26"/>
        </w:rPr>
        <w:t>озроблення схем планування та забудови територій (містобудівної документації)</w:t>
      </w:r>
      <w:r w:rsidR="00320A1B" w:rsidRPr="0011430E">
        <w:rPr>
          <w:sz w:val="26"/>
          <w:szCs w:val="26"/>
        </w:rPr>
        <w:t xml:space="preserve"> по спеціальному фонду </w:t>
      </w:r>
      <w:r w:rsidR="006C7259">
        <w:rPr>
          <w:sz w:val="26"/>
          <w:szCs w:val="26"/>
        </w:rPr>
        <w:t>передбачені кошти</w:t>
      </w:r>
      <w:r w:rsidR="00320A1B" w:rsidRPr="0011430E">
        <w:rPr>
          <w:sz w:val="26"/>
          <w:szCs w:val="26"/>
        </w:rPr>
        <w:t xml:space="preserve"> у сумі 900,0 тис. гривень</w:t>
      </w:r>
      <w:r w:rsidR="006C7259">
        <w:rPr>
          <w:sz w:val="26"/>
          <w:szCs w:val="26"/>
        </w:rPr>
        <w:t>.</w:t>
      </w:r>
    </w:p>
    <w:p w:rsidR="005F468B" w:rsidRPr="00F104D2" w:rsidRDefault="005F468B" w:rsidP="00432787">
      <w:pPr>
        <w:ind w:firstLine="567"/>
        <w:jc w:val="both"/>
        <w:rPr>
          <w:sz w:val="26"/>
          <w:szCs w:val="26"/>
        </w:rPr>
      </w:pPr>
    </w:p>
    <w:p w:rsidR="00432787" w:rsidRPr="00F104D2" w:rsidRDefault="00BC3882" w:rsidP="00BA4F72">
      <w:pPr>
        <w:ind w:firstLine="567"/>
        <w:jc w:val="both"/>
        <w:rPr>
          <w:b/>
          <w:bCs/>
          <w:sz w:val="26"/>
          <w:szCs w:val="26"/>
        </w:rPr>
      </w:pPr>
      <w:r w:rsidRPr="00F104D2">
        <w:rPr>
          <w:b/>
          <w:bCs/>
          <w:sz w:val="26"/>
          <w:szCs w:val="26"/>
        </w:rPr>
        <w:lastRenderedPageBreak/>
        <w:t xml:space="preserve">Обсяг публічних інвестицій на 2026 рік заплановано в сумі </w:t>
      </w:r>
      <w:r w:rsidR="001D290A" w:rsidRPr="00F104D2">
        <w:rPr>
          <w:b/>
          <w:bCs/>
          <w:sz w:val="26"/>
          <w:szCs w:val="26"/>
        </w:rPr>
        <w:t>24 900,0</w:t>
      </w:r>
      <w:r w:rsidRPr="00F104D2">
        <w:rPr>
          <w:b/>
          <w:bCs/>
          <w:sz w:val="26"/>
          <w:szCs w:val="26"/>
        </w:rPr>
        <w:t xml:space="preserve"> тис. гривень</w:t>
      </w:r>
      <w:r w:rsidR="001D290A" w:rsidRPr="00F104D2">
        <w:rPr>
          <w:b/>
          <w:bCs/>
          <w:sz w:val="26"/>
          <w:szCs w:val="26"/>
        </w:rPr>
        <w:t>, в тому числі:</w:t>
      </w:r>
    </w:p>
    <w:p w:rsidR="00730533" w:rsidRPr="00F104D2" w:rsidRDefault="000E12C1" w:rsidP="001D290A">
      <w:pPr>
        <w:ind w:firstLine="567"/>
        <w:jc w:val="both"/>
        <w:rPr>
          <w:sz w:val="26"/>
          <w:szCs w:val="26"/>
        </w:rPr>
      </w:pPr>
      <w:r w:rsidRPr="00F104D2">
        <w:rPr>
          <w:sz w:val="26"/>
          <w:szCs w:val="26"/>
        </w:rPr>
        <w:t>- р</w:t>
      </w:r>
      <w:r w:rsidR="00730533" w:rsidRPr="00F104D2">
        <w:rPr>
          <w:sz w:val="26"/>
          <w:szCs w:val="26"/>
        </w:rPr>
        <w:t>еконструкція комунальної котельні по вул</w:t>
      </w:r>
      <w:r w:rsidRPr="00F104D2">
        <w:rPr>
          <w:sz w:val="26"/>
          <w:szCs w:val="26"/>
        </w:rPr>
        <w:t>иці Леоніда</w:t>
      </w:r>
      <w:r w:rsidR="00730533" w:rsidRPr="00F104D2">
        <w:rPr>
          <w:sz w:val="26"/>
          <w:szCs w:val="26"/>
        </w:rPr>
        <w:t xml:space="preserve"> Татаренка,1Б у м</w:t>
      </w:r>
      <w:r w:rsidRPr="00F104D2">
        <w:rPr>
          <w:sz w:val="26"/>
          <w:szCs w:val="26"/>
        </w:rPr>
        <w:t>істі</w:t>
      </w:r>
      <w:r w:rsidR="00730533" w:rsidRPr="00F104D2">
        <w:rPr>
          <w:sz w:val="26"/>
          <w:szCs w:val="26"/>
        </w:rPr>
        <w:t xml:space="preserve"> Тростянець для створення мультифункціонального</w:t>
      </w:r>
      <w:r w:rsidR="001D290A" w:rsidRPr="00F104D2">
        <w:rPr>
          <w:sz w:val="26"/>
          <w:szCs w:val="26"/>
        </w:rPr>
        <w:t xml:space="preserve"> </w:t>
      </w:r>
      <w:r w:rsidR="00730533" w:rsidRPr="00F104D2">
        <w:rPr>
          <w:sz w:val="26"/>
          <w:szCs w:val="26"/>
        </w:rPr>
        <w:t>центру дозвілля та освіти</w:t>
      </w:r>
      <w:r w:rsidR="001D290A" w:rsidRPr="00F104D2">
        <w:rPr>
          <w:sz w:val="26"/>
          <w:szCs w:val="26"/>
        </w:rPr>
        <w:t xml:space="preserve"> – 1600,0 тис. гривень;</w:t>
      </w:r>
      <w:r w:rsidR="00730533" w:rsidRPr="00F104D2">
        <w:rPr>
          <w:sz w:val="26"/>
          <w:szCs w:val="26"/>
        </w:rPr>
        <w:t xml:space="preserve"> </w:t>
      </w:r>
    </w:p>
    <w:p w:rsidR="00730533" w:rsidRPr="00F104D2" w:rsidRDefault="000E12C1" w:rsidP="001D290A">
      <w:pPr>
        <w:ind w:firstLine="567"/>
        <w:jc w:val="both"/>
        <w:rPr>
          <w:sz w:val="26"/>
          <w:szCs w:val="26"/>
        </w:rPr>
      </w:pPr>
      <w:r w:rsidRPr="00F104D2">
        <w:rPr>
          <w:sz w:val="26"/>
          <w:szCs w:val="26"/>
        </w:rPr>
        <w:t>- к</w:t>
      </w:r>
      <w:r w:rsidR="00730533" w:rsidRPr="00F104D2">
        <w:rPr>
          <w:sz w:val="26"/>
          <w:szCs w:val="26"/>
        </w:rPr>
        <w:t>апітальний ремонт та термомодернізація</w:t>
      </w:r>
      <w:r w:rsidR="00500EEE" w:rsidRPr="00F104D2">
        <w:rPr>
          <w:sz w:val="26"/>
          <w:szCs w:val="26"/>
        </w:rPr>
        <w:t xml:space="preserve"> </w:t>
      </w:r>
      <w:r w:rsidR="00730533" w:rsidRPr="00F104D2">
        <w:rPr>
          <w:sz w:val="26"/>
          <w:szCs w:val="26"/>
        </w:rPr>
        <w:t>нежитлової будівлі по вул</w:t>
      </w:r>
      <w:r w:rsidR="00137F7C">
        <w:rPr>
          <w:sz w:val="26"/>
          <w:szCs w:val="26"/>
        </w:rPr>
        <w:t xml:space="preserve">иці </w:t>
      </w:r>
      <w:r w:rsidR="00730533" w:rsidRPr="00F104D2">
        <w:rPr>
          <w:sz w:val="26"/>
          <w:szCs w:val="26"/>
        </w:rPr>
        <w:t>Вознесенська,2 у м</w:t>
      </w:r>
      <w:r w:rsidRPr="00F104D2">
        <w:rPr>
          <w:sz w:val="26"/>
          <w:szCs w:val="26"/>
        </w:rPr>
        <w:t>істі</w:t>
      </w:r>
      <w:r w:rsidR="00730533" w:rsidRPr="00F104D2">
        <w:rPr>
          <w:sz w:val="26"/>
          <w:szCs w:val="26"/>
        </w:rPr>
        <w:t xml:space="preserve"> Тростянець для створення навчально-культурного молодіжного центру з використанням альтернативних джерел енергії</w:t>
      </w:r>
      <w:r w:rsidR="001D290A" w:rsidRPr="00F104D2">
        <w:rPr>
          <w:sz w:val="26"/>
          <w:szCs w:val="26"/>
        </w:rPr>
        <w:t xml:space="preserve"> - 3 400,0 тис. гривень;</w:t>
      </w:r>
    </w:p>
    <w:p w:rsidR="00730533" w:rsidRPr="00F104D2" w:rsidRDefault="000E12C1" w:rsidP="001D290A">
      <w:pPr>
        <w:ind w:firstLine="567"/>
        <w:jc w:val="both"/>
        <w:rPr>
          <w:sz w:val="26"/>
          <w:szCs w:val="26"/>
        </w:rPr>
      </w:pPr>
      <w:r w:rsidRPr="00F104D2">
        <w:rPr>
          <w:sz w:val="26"/>
          <w:szCs w:val="26"/>
        </w:rPr>
        <w:t>- к</w:t>
      </w:r>
      <w:r w:rsidR="00730533" w:rsidRPr="00F104D2">
        <w:rPr>
          <w:sz w:val="26"/>
          <w:szCs w:val="26"/>
        </w:rPr>
        <w:t xml:space="preserve">апітальний ремонт 2-го поверху для створення відділення реабілітації </w:t>
      </w:r>
      <w:r w:rsidRPr="00F104D2">
        <w:rPr>
          <w:sz w:val="26"/>
          <w:szCs w:val="26"/>
        </w:rPr>
        <w:t>Комунального некомерційного підприємства</w:t>
      </w:r>
      <w:r w:rsidR="00730533" w:rsidRPr="00F104D2">
        <w:rPr>
          <w:sz w:val="26"/>
          <w:szCs w:val="26"/>
        </w:rPr>
        <w:t xml:space="preserve"> "Тростянецька міська лікарня"</w:t>
      </w:r>
      <w:r w:rsidRPr="00F104D2">
        <w:rPr>
          <w:sz w:val="26"/>
          <w:szCs w:val="26"/>
        </w:rPr>
        <w:t xml:space="preserve"> Тростянецької міської ради</w:t>
      </w:r>
      <w:r w:rsidR="001D290A" w:rsidRPr="00F104D2">
        <w:rPr>
          <w:sz w:val="26"/>
          <w:szCs w:val="26"/>
        </w:rPr>
        <w:t xml:space="preserve"> – 4000,0 тис. гривень;</w:t>
      </w:r>
    </w:p>
    <w:p w:rsidR="00730533" w:rsidRPr="00F104D2" w:rsidRDefault="000E12C1" w:rsidP="001D290A">
      <w:pPr>
        <w:ind w:firstLine="567"/>
        <w:jc w:val="both"/>
        <w:rPr>
          <w:sz w:val="26"/>
          <w:szCs w:val="26"/>
        </w:rPr>
      </w:pPr>
      <w:r w:rsidRPr="00F104D2">
        <w:rPr>
          <w:sz w:val="26"/>
          <w:szCs w:val="26"/>
        </w:rPr>
        <w:t>- р</w:t>
      </w:r>
      <w:r w:rsidR="00730533" w:rsidRPr="00F104D2">
        <w:rPr>
          <w:sz w:val="26"/>
          <w:szCs w:val="26"/>
        </w:rPr>
        <w:t>еконструкція Комунального некомерційного підприємства "Тростянецький центр первинної медичної допомоги" Тростянецької міської ради за адресою: м</w:t>
      </w:r>
      <w:r w:rsidRPr="00F104D2">
        <w:rPr>
          <w:sz w:val="26"/>
          <w:szCs w:val="26"/>
        </w:rPr>
        <w:t xml:space="preserve">істо </w:t>
      </w:r>
      <w:r w:rsidR="00730533" w:rsidRPr="00F104D2">
        <w:rPr>
          <w:sz w:val="26"/>
          <w:szCs w:val="26"/>
        </w:rPr>
        <w:t>Тростянець, вул</w:t>
      </w:r>
      <w:r w:rsidRPr="00F104D2">
        <w:rPr>
          <w:sz w:val="26"/>
          <w:szCs w:val="26"/>
        </w:rPr>
        <w:t xml:space="preserve">иця </w:t>
      </w:r>
      <w:r w:rsidR="00730533" w:rsidRPr="00F104D2">
        <w:rPr>
          <w:sz w:val="26"/>
          <w:szCs w:val="26"/>
        </w:rPr>
        <w:t>Благовіщенська,</w:t>
      </w:r>
      <w:r w:rsidR="00A231B2" w:rsidRPr="00F104D2">
        <w:rPr>
          <w:sz w:val="26"/>
          <w:szCs w:val="26"/>
        </w:rPr>
        <w:t xml:space="preserve"> </w:t>
      </w:r>
      <w:r w:rsidR="00730533" w:rsidRPr="00F104D2">
        <w:rPr>
          <w:sz w:val="26"/>
          <w:szCs w:val="26"/>
        </w:rPr>
        <w:t xml:space="preserve">55 </w:t>
      </w:r>
      <w:r w:rsidR="001D290A" w:rsidRPr="00F104D2">
        <w:rPr>
          <w:sz w:val="26"/>
          <w:szCs w:val="26"/>
        </w:rPr>
        <w:t xml:space="preserve">- 8 600,0 тис. </w:t>
      </w:r>
      <w:r w:rsidR="00A231B2" w:rsidRPr="00F104D2">
        <w:rPr>
          <w:sz w:val="26"/>
          <w:szCs w:val="26"/>
        </w:rPr>
        <w:t>г</w:t>
      </w:r>
      <w:r w:rsidR="001D290A" w:rsidRPr="00F104D2">
        <w:rPr>
          <w:sz w:val="26"/>
          <w:szCs w:val="26"/>
        </w:rPr>
        <w:t>ривень</w:t>
      </w:r>
      <w:r w:rsidRPr="00F104D2">
        <w:rPr>
          <w:sz w:val="26"/>
          <w:szCs w:val="26"/>
        </w:rPr>
        <w:t>.</w:t>
      </w:r>
    </w:p>
    <w:p w:rsidR="001428AB" w:rsidRPr="002C7D75" w:rsidRDefault="001428AB" w:rsidP="00706665">
      <w:pPr>
        <w:ind w:firstLine="567"/>
        <w:jc w:val="center"/>
        <w:rPr>
          <w:b/>
          <w:bCs/>
          <w:sz w:val="26"/>
          <w:szCs w:val="26"/>
          <w:highlight w:val="yellow"/>
        </w:rPr>
      </w:pPr>
    </w:p>
    <w:p w:rsidR="00500EEE" w:rsidRPr="002C7D75" w:rsidRDefault="00352C13" w:rsidP="00706665">
      <w:pPr>
        <w:ind w:firstLine="567"/>
        <w:jc w:val="center"/>
        <w:rPr>
          <w:b/>
          <w:bCs/>
          <w:sz w:val="26"/>
          <w:szCs w:val="26"/>
        </w:rPr>
      </w:pPr>
      <w:r w:rsidRPr="002C7D75">
        <w:rPr>
          <w:b/>
          <w:bCs/>
          <w:sz w:val="26"/>
          <w:szCs w:val="26"/>
        </w:rPr>
        <w:t>Виготовлення проє</w:t>
      </w:r>
      <w:r w:rsidR="00500EEE" w:rsidRPr="002C7D75">
        <w:rPr>
          <w:b/>
          <w:bCs/>
          <w:sz w:val="26"/>
          <w:szCs w:val="26"/>
        </w:rPr>
        <w:t>ктно-кошторисної документації:</w:t>
      </w:r>
    </w:p>
    <w:p w:rsidR="00730533" w:rsidRPr="002C7D75" w:rsidRDefault="00500EEE" w:rsidP="001D290A">
      <w:pPr>
        <w:ind w:firstLine="567"/>
        <w:jc w:val="both"/>
        <w:rPr>
          <w:sz w:val="26"/>
          <w:szCs w:val="26"/>
        </w:rPr>
      </w:pPr>
      <w:r w:rsidRPr="002C7D75">
        <w:rPr>
          <w:sz w:val="26"/>
          <w:szCs w:val="26"/>
        </w:rPr>
        <w:t xml:space="preserve"> -</w:t>
      </w:r>
      <w:r w:rsidR="00730533" w:rsidRPr="002C7D75">
        <w:rPr>
          <w:sz w:val="26"/>
          <w:szCs w:val="26"/>
        </w:rPr>
        <w:t xml:space="preserve"> Реставрація комплексної пам‘ятки</w:t>
      </w:r>
      <w:r w:rsidR="001D290A" w:rsidRPr="002C7D75">
        <w:rPr>
          <w:sz w:val="26"/>
          <w:szCs w:val="26"/>
        </w:rPr>
        <w:t xml:space="preserve"> </w:t>
      </w:r>
      <w:r w:rsidR="00730533" w:rsidRPr="002C7D75">
        <w:rPr>
          <w:sz w:val="26"/>
          <w:szCs w:val="26"/>
        </w:rPr>
        <w:t xml:space="preserve">архітектури національного значення </w:t>
      </w:r>
      <w:r w:rsidR="00224F9D" w:rsidRPr="002C7D75">
        <w:rPr>
          <w:sz w:val="26"/>
          <w:szCs w:val="26"/>
        </w:rPr>
        <w:t>«</w:t>
      </w:r>
      <w:r w:rsidR="00730533" w:rsidRPr="002C7D75">
        <w:rPr>
          <w:sz w:val="26"/>
          <w:szCs w:val="26"/>
        </w:rPr>
        <w:t>Садиба Л.Є. Кеніга</w:t>
      </w:r>
      <w:r w:rsidR="00224F9D" w:rsidRPr="002C7D75">
        <w:rPr>
          <w:sz w:val="26"/>
          <w:szCs w:val="26"/>
        </w:rPr>
        <w:t>»</w:t>
      </w:r>
      <w:r w:rsidR="00730533" w:rsidRPr="002C7D75">
        <w:rPr>
          <w:sz w:val="26"/>
          <w:szCs w:val="26"/>
        </w:rPr>
        <w:t xml:space="preserve"> (охор. №№ 1546,1547) в місті Тростянець</w:t>
      </w:r>
      <w:r w:rsidR="00224F9D" w:rsidRPr="002C7D75">
        <w:rPr>
          <w:sz w:val="26"/>
          <w:szCs w:val="26"/>
        </w:rPr>
        <w:t>;</w:t>
      </w:r>
    </w:p>
    <w:p w:rsidR="00730533" w:rsidRPr="002C7D75" w:rsidRDefault="00500EEE" w:rsidP="001D290A">
      <w:pPr>
        <w:ind w:firstLine="567"/>
        <w:jc w:val="both"/>
        <w:rPr>
          <w:sz w:val="26"/>
          <w:szCs w:val="26"/>
        </w:rPr>
      </w:pPr>
      <w:r w:rsidRPr="002C7D75">
        <w:rPr>
          <w:sz w:val="26"/>
          <w:szCs w:val="26"/>
        </w:rPr>
        <w:t>-</w:t>
      </w:r>
      <w:r w:rsidR="00730533" w:rsidRPr="002C7D75">
        <w:rPr>
          <w:sz w:val="26"/>
          <w:szCs w:val="26"/>
        </w:rPr>
        <w:t xml:space="preserve"> </w:t>
      </w:r>
      <w:r w:rsidRPr="002C7D75">
        <w:rPr>
          <w:sz w:val="26"/>
          <w:szCs w:val="26"/>
        </w:rPr>
        <w:t>Р</w:t>
      </w:r>
      <w:r w:rsidR="00730533" w:rsidRPr="002C7D75">
        <w:rPr>
          <w:sz w:val="26"/>
          <w:szCs w:val="26"/>
        </w:rPr>
        <w:t>еконструкція освітлення стадіону ім. Куца по вул. Кеніга</w:t>
      </w:r>
      <w:r w:rsidR="00224F9D" w:rsidRPr="002C7D75">
        <w:rPr>
          <w:sz w:val="26"/>
          <w:szCs w:val="26"/>
        </w:rPr>
        <w:t>;</w:t>
      </w:r>
    </w:p>
    <w:p w:rsidR="00706665" w:rsidRPr="002C7D75" w:rsidRDefault="00E21A22" w:rsidP="00706665">
      <w:pPr>
        <w:ind w:firstLine="567"/>
        <w:jc w:val="both"/>
        <w:rPr>
          <w:sz w:val="26"/>
          <w:szCs w:val="26"/>
        </w:rPr>
      </w:pPr>
      <w:r w:rsidRPr="002C7D75">
        <w:rPr>
          <w:sz w:val="26"/>
          <w:szCs w:val="26"/>
        </w:rPr>
        <w:t xml:space="preserve">- </w:t>
      </w:r>
      <w:r w:rsidR="00706665" w:rsidRPr="002C7D75">
        <w:rPr>
          <w:sz w:val="26"/>
          <w:szCs w:val="26"/>
        </w:rPr>
        <w:t>Реконструкція системи водовідведення з центральної частини м</w:t>
      </w:r>
      <w:r w:rsidR="00776A04" w:rsidRPr="002C7D75">
        <w:rPr>
          <w:sz w:val="26"/>
          <w:szCs w:val="26"/>
        </w:rPr>
        <w:t>іста</w:t>
      </w:r>
      <w:r w:rsidR="00706665" w:rsidRPr="002C7D75">
        <w:rPr>
          <w:sz w:val="26"/>
          <w:szCs w:val="26"/>
        </w:rPr>
        <w:t xml:space="preserve"> Тростянець</w:t>
      </w:r>
      <w:r w:rsidR="00776A04" w:rsidRPr="002C7D75">
        <w:rPr>
          <w:sz w:val="26"/>
          <w:szCs w:val="26"/>
        </w:rPr>
        <w:t>.</w:t>
      </w:r>
      <w:r w:rsidR="00706665" w:rsidRPr="002C7D75">
        <w:rPr>
          <w:sz w:val="26"/>
          <w:szCs w:val="26"/>
        </w:rPr>
        <w:t xml:space="preserve"> Каналізаційна насосна станція з занурювальними насосами по вул</w:t>
      </w:r>
      <w:r w:rsidR="00197E6C" w:rsidRPr="002C7D75">
        <w:rPr>
          <w:sz w:val="26"/>
          <w:szCs w:val="26"/>
        </w:rPr>
        <w:t>иці</w:t>
      </w:r>
      <w:r w:rsidR="00706665" w:rsidRPr="002C7D75">
        <w:rPr>
          <w:sz w:val="26"/>
          <w:szCs w:val="26"/>
        </w:rPr>
        <w:t xml:space="preserve"> </w:t>
      </w:r>
      <w:r w:rsidRPr="002C7D75">
        <w:rPr>
          <w:sz w:val="26"/>
          <w:szCs w:val="26"/>
        </w:rPr>
        <w:t>Б.Хмельницького</w:t>
      </w:r>
      <w:r w:rsidR="00197E6C" w:rsidRPr="002C7D75">
        <w:rPr>
          <w:sz w:val="26"/>
          <w:szCs w:val="26"/>
        </w:rPr>
        <w:t>;</w:t>
      </w:r>
    </w:p>
    <w:p w:rsidR="00706665" w:rsidRPr="002C7D75" w:rsidRDefault="00E21A22" w:rsidP="00706665">
      <w:pPr>
        <w:ind w:firstLine="567"/>
        <w:jc w:val="both"/>
        <w:rPr>
          <w:sz w:val="26"/>
          <w:szCs w:val="26"/>
        </w:rPr>
      </w:pPr>
      <w:r w:rsidRPr="002C7D75">
        <w:rPr>
          <w:sz w:val="26"/>
          <w:szCs w:val="26"/>
        </w:rPr>
        <w:t xml:space="preserve">- </w:t>
      </w:r>
      <w:r w:rsidR="00706665" w:rsidRPr="002C7D75">
        <w:rPr>
          <w:sz w:val="26"/>
          <w:szCs w:val="26"/>
        </w:rPr>
        <w:t>Реконструкці</w:t>
      </w:r>
      <w:r w:rsidR="00197E6C" w:rsidRPr="002C7D75">
        <w:rPr>
          <w:sz w:val="26"/>
          <w:szCs w:val="26"/>
        </w:rPr>
        <w:t>я</w:t>
      </w:r>
      <w:r w:rsidR="00706665" w:rsidRPr="002C7D75">
        <w:rPr>
          <w:sz w:val="26"/>
          <w:szCs w:val="26"/>
        </w:rPr>
        <w:t xml:space="preserve"> повітряної лінії 0,4 кВ вул. Академіка Погребняка, Остапа </w:t>
      </w:r>
      <w:r w:rsidRPr="002C7D75">
        <w:rPr>
          <w:sz w:val="26"/>
          <w:szCs w:val="26"/>
        </w:rPr>
        <w:t>Вишні, Куца, Зоряна, Хвильового</w:t>
      </w:r>
      <w:r w:rsidR="00197E6C" w:rsidRPr="002C7D75">
        <w:rPr>
          <w:sz w:val="26"/>
          <w:szCs w:val="26"/>
        </w:rPr>
        <w:t>;</w:t>
      </w:r>
    </w:p>
    <w:p w:rsidR="00706665" w:rsidRPr="002C7D75" w:rsidRDefault="00E21A22" w:rsidP="00706665">
      <w:pPr>
        <w:ind w:firstLine="567"/>
        <w:jc w:val="both"/>
        <w:rPr>
          <w:sz w:val="26"/>
          <w:szCs w:val="26"/>
        </w:rPr>
      </w:pPr>
      <w:r w:rsidRPr="002C7D75">
        <w:rPr>
          <w:sz w:val="26"/>
          <w:szCs w:val="26"/>
        </w:rPr>
        <w:t xml:space="preserve">- </w:t>
      </w:r>
      <w:r w:rsidR="00706665" w:rsidRPr="002C7D75">
        <w:rPr>
          <w:sz w:val="26"/>
          <w:szCs w:val="26"/>
        </w:rPr>
        <w:t>Будівництво муніципального (соціального) орендного житла по вул</w:t>
      </w:r>
      <w:r w:rsidR="00197E6C" w:rsidRPr="002C7D75">
        <w:rPr>
          <w:sz w:val="26"/>
          <w:szCs w:val="26"/>
        </w:rPr>
        <w:t xml:space="preserve">иці </w:t>
      </w:r>
      <w:r w:rsidR="00706665" w:rsidRPr="002C7D75">
        <w:rPr>
          <w:sz w:val="26"/>
          <w:szCs w:val="26"/>
        </w:rPr>
        <w:t xml:space="preserve"> Академіка Погребняка, Остапа Вишні, Куца, Зорян</w:t>
      </w:r>
      <w:r w:rsidR="00776A04" w:rsidRPr="002C7D75">
        <w:rPr>
          <w:sz w:val="26"/>
          <w:szCs w:val="26"/>
        </w:rPr>
        <w:t>ої</w:t>
      </w:r>
      <w:r w:rsidR="00706665" w:rsidRPr="002C7D75">
        <w:rPr>
          <w:sz w:val="26"/>
          <w:szCs w:val="26"/>
        </w:rPr>
        <w:t>, Хвильового;</w:t>
      </w:r>
    </w:p>
    <w:p w:rsidR="00706665" w:rsidRPr="002C7D75" w:rsidRDefault="00E21A22" w:rsidP="00706665">
      <w:pPr>
        <w:ind w:firstLine="567"/>
        <w:jc w:val="both"/>
        <w:rPr>
          <w:sz w:val="26"/>
          <w:szCs w:val="26"/>
        </w:rPr>
      </w:pPr>
      <w:r w:rsidRPr="002C7D75">
        <w:rPr>
          <w:sz w:val="26"/>
          <w:szCs w:val="26"/>
        </w:rPr>
        <w:t xml:space="preserve">- </w:t>
      </w:r>
      <w:r w:rsidR="00706665" w:rsidRPr="002C7D75">
        <w:rPr>
          <w:sz w:val="26"/>
          <w:szCs w:val="26"/>
        </w:rPr>
        <w:t>Реконструкція системи теплопостачання центральної частини міста</w:t>
      </w:r>
      <w:r w:rsidRPr="002C7D75">
        <w:rPr>
          <w:sz w:val="26"/>
          <w:szCs w:val="26"/>
        </w:rPr>
        <w:t>;</w:t>
      </w:r>
    </w:p>
    <w:p w:rsidR="00706665" w:rsidRPr="002C7D75" w:rsidRDefault="00E21A22" w:rsidP="0069093B">
      <w:pPr>
        <w:ind w:firstLine="567"/>
        <w:jc w:val="both"/>
        <w:rPr>
          <w:sz w:val="26"/>
          <w:szCs w:val="26"/>
        </w:rPr>
      </w:pPr>
      <w:r w:rsidRPr="002C7D75">
        <w:rPr>
          <w:sz w:val="26"/>
          <w:szCs w:val="26"/>
        </w:rPr>
        <w:t xml:space="preserve">- </w:t>
      </w:r>
      <w:r w:rsidR="00706665" w:rsidRPr="002C7D75">
        <w:rPr>
          <w:sz w:val="26"/>
          <w:szCs w:val="26"/>
        </w:rPr>
        <w:t>Будівництво муніципального (соціального) орендного житла по вул</w:t>
      </w:r>
      <w:r w:rsidR="002C7D75">
        <w:rPr>
          <w:sz w:val="26"/>
          <w:szCs w:val="26"/>
        </w:rPr>
        <w:t>.</w:t>
      </w:r>
      <w:r w:rsidR="00706665" w:rsidRPr="002C7D75">
        <w:rPr>
          <w:sz w:val="26"/>
          <w:szCs w:val="26"/>
        </w:rPr>
        <w:t>Нескучаська</w:t>
      </w:r>
      <w:r w:rsidR="00197E6C" w:rsidRPr="002C7D75">
        <w:rPr>
          <w:sz w:val="26"/>
          <w:szCs w:val="26"/>
        </w:rPr>
        <w:t>.</w:t>
      </w:r>
    </w:p>
    <w:p w:rsidR="0075211B" w:rsidRPr="002C7D75" w:rsidRDefault="0075211B" w:rsidP="00423104">
      <w:pPr>
        <w:ind w:firstLine="567"/>
        <w:jc w:val="center"/>
        <w:rPr>
          <w:b/>
          <w:bCs/>
          <w:sz w:val="26"/>
          <w:szCs w:val="26"/>
        </w:rPr>
      </w:pPr>
    </w:p>
    <w:p w:rsidR="00706665" w:rsidRPr="002C7D75" w:rsidRDefault="00706665" w:rsidP="00423104">
      <w:pPr>
        <w:ind w:firstLine="567"/>
        <w:jc w:val="center"/>
        <w:rPr>
          <w:b/>
          <w:bCs/>
          <w:sz w:val="26"/>
          <w:szCs w:val="26"/>
        </w:rPr>
      </w:pPr>
      <w:r w:rsidRPr="002C7D75">
        <w:rPr>
          <w:b/>
          <w:bCs/>
          <w:sz w:val="26"/>
          <w:szCs w:val="26"/>
        </w:rPr>
        <w:t>Будівництво (співфінансування)</w:t>
      </w:r>
    </w:p>
    <w:p w:rsidR="00730533" w:rsidRPr="002C7D75" w:rsidRDefault="00423104" w:rsidP="002C7D75">
      <w:pPr>
        <w:ind w:firstLine="567"/>
        <w:jc w:val="both"/>
        <w:rPr>
          <w:sz w:val="26"/>
          <w:szCs w:val="26"/>
        </w:rPr>
      </w:pPr>
      <w:r w:rsidRPr="002C7D75">
        <w:rPr>
          <w:sz w:val="26"/>
          <w:szCs w:val="26"/>
        </w:rPr>
        <w:t xml:space="preserve">- </w:t>
      </w:r>
      <w:r w:rsidR="00E21A22" w:rsidRPr="002C7D75">
        <w:rPr>
          <w:sz w:val="26"/>
          <w:szCs w:val="26"/>
        </w:rPr>
        <w:t xml:space="preserve">Будівництво </w:t>
      </w:r>
      <w:r w:rsidR="00706665" w:rsidRPr="002C7D75">
        <w:rPr>
          <w:sz w:val="26"/>
          <w:szCs w:val="26"/>
        </w:rPr>
        <w:t>А</w:t>
      </w:r>
      <w:r w:rsidR="00730533" w:rsidRPr="002C7D75">
        <w:rPr>
          <w:sz w:val="26"/>
          <w:szCs w:val="26"/>
        </w:rPr>
        <w:t>ртезіанськ</w:t>
      </w:r>
      <w:r w:rsidR="00706665" w:rsidRPr="002C7D75">
        <w:rPr>
          <w:sz w:val="26"/>
          <w:szCs w:val="26"/>
        </w:rPr>
        <w:t>а</w:t>
      </w:r>
      <w:r w:rsidR="00730533" w:rsidRPr="002C7D75">
        <w:rPr>
          <w:sz w:val="26"/>
          <w:szCs w:val="26"/>
        </w:rPr>
        <w:t xml:space="preserve"> свердловини по вул. Остапа Вишні</w:t>
      </w:r>
      <w:r w:rsidR="001D290A" w:rsidRPr="002C7D75">
        <w:rPr>
          <w:sz w:val="26"/>
          <w:szCs w:val="26"/>
        </w:rPr>
        <w:t xml:space="preserve"> – 2500,0 тис. гривень;</w:t>
      </w:r>
    </w:p>
    <w:p w:rsidR="00730533" w:rsidRPr="002C7D75" w:rsidRDefault="00423104" w:rsidP="002C7D75">
      <w:pPr>
        <w:ind w:firstLine="567"/>
        <w:jc w:val="both"/>
        <w:rPr>
          <w:sz w:val="26"/>
          <w:szCs w:val="26"/>
        </w:rPr>
      </w:pPr>
      <w:r w:rsidRPr="002C7D75">
        <w:rPr>
          <w:sz w:val="26"/>
          <w:szCs w:val="26"/>
        </w:rPr>
        <w:t xml:space="preserve">- </w:t>
      </w:r>
      <w:r w:rsidR="00730533" w:rsidRPr="002C7D75">
        <w:rPr>
          <w:sz w:val="26"/>
          <w:szCs w:val="26"/>
        </w:rPr>
        <w:t xml:space="preserve">Будівництво водопроводу по вул. Кузьми Скрябіна – вул. Нескучанська </w:t>
      </w:r>
      <w:r w:rsidR="001D290A" w:rsidRPr="002C7D75">
        <w:rPr>
          <w:sz w:val="26"/>
          <w:szCs w:val="26"/>
        </w:rPr>
        <w:t>– 220,0 тис. гривень;</w:t>
      </w:r>
    </w:p>
    <w:p w:rsidR="00730533" w:rsidRPr="002C7D75" w:rsidRDefault="00423104" w:rsidP="002C7D75">
      <w:pPr>
        <w:ind w:firstLine="567"/>
        <w:jc w:val="both"/>
        <w:rPr>
          <w:sz w:val="26"/>
          <w:szCs w:val="26"/>
        </w:rPr>
      </w:pPr>
      <w:r w:rsidRPr="002C7D75">
        <w:rPr>
          <w:sz w:val="26"/>
          <w:szCs w:val="26"/>
        </w:rPr>
        <w:t xml:space="preserve">- </w:t>
      </w:r>
      <w:r w:rsidR="00E21A22" w:rsidRPr="002C7D75">
        <w:rPr>
          <w:sz w:val="26"/>
          <w:szCs w:val="26"/>
        </w:rPr>
        <w:t>Б</w:t>
      </w:r>
      <w:r w:rsidR="00730533" w:rsidRPr="002C7D75">
        <w:rPr>
          <w:sz w:val="26"/>
          <w:szCs w:val="26"/>
        </w:rPr>
        <w:t>удівництво водопроводу по вулиці Миру</w:t>
      </w:r>
      <w:r w:rsidR="001D290A" w:rsidRPr="002C7D75">
        <w:rPr>
          <w:sz w:val="26"/>
          <w:szCs w:val="26"/>
        </w:rPr>
        <w:t xml:space="preserve"> – 590,0 тис. гривень;</w:t>
      </w:r>
    </w:p>
    <w:p w:rsidR="00730533" w:rsidRPr="002C7D75" w:rsidRDefault="00423104" w:rsidP="002C7D75">
      <w:pPr>
        <w:ind w:firstLine="567"/>
        <w:jc w:val="both"/>
        <w:rPr>
          <w:sz w:val="26"/>
          <w:szCs w:val="26"/>
        </w:rPr>
      </w:pPr>
      <w:r w:rsidRPr="002C7D75">
        <w:rPr>
          <w:sz w:val="26"/>
          <w:szCs w:val="26"/>
        </w:rPr>
        <w:t xml:space="preserve">- </w:t>
      </w:r>
      <w:r w:rsidR="00730533" w:rsidRPr="002C7D75">
        <w:rPr>
          <w:sz w:val="26"/>
          <w:szCs w:val="26"/>
        </w:rPr>
        <w:t>Будівництво водопроводу по вул</w:t>
      </w:r>
      <w:r w:rsidR="00242702" w:rsidRPr="002C7D75">
        <w:rPr>
          <w:sz w:val="26"/>
          <w:szCs w:val="26"/>
        </w:rPr>
        <w:t>.</w:t>
      </w:r>
      <w:r w:rsidR="00730533" w:rsidRPr="002C7D75">
        <w:rPr>
          <w:sz w:val="26"/>
          <w:szCs w:val="26"/>
        </w:rPr>
        <w:t xml:space="preserve"> Пам’яті – вул. Дмитра Євдокимова </w:t>
      </w:r>
      <w:r w:rsidR="001D290A" w:rsidRPr="002C7D75">
        <w:rPr>
          <w:sz w:val="26"/>
          <w:szCs w:val="26"/>
        </w:rPr>
        <w:t>– 540,0 тис. гривень;</w:t>
      </w:r>
    </w:p>
    <w:p w:rsidR="00730533" w:rsidRPr="002C7D75" w:rsidRDefault="00423104" w:rsidP="002C7D75">
      <w:pPr>
        <w:ind w:firstLine="567"/>
        <w:jc w:val="both"/>
        <w:rPr>
          <w:sz w:val="26"/>
          <w:szCs w:val="26"/>
        </w:rPr>
      </w:pPr>
      <w:r w:rsidRPr="002C7D75">
        <w:rPr>
          <w:sz w:val="26"/>
          <w:szCs w:val="26"/>
        </w:rPr>
        <w:t xml:space="preserve">- </w:t>
      </w:r>
      <w:r w:rsidR="00730533" w:rsidRPr="002C7D75">
        <w:rPr>
          <w:sz w:val="26"/>
          <w:szCs w:val="26"/>
        </w:rPr>
        <w:t>Будівництво водопроводу по пров. Г.Калнишевського, вул. Молодіжна, вул.П.Куліша</w:t>
      </w:r>
      <w:r w:rsidR="001D290A" w:rsidRPr="002C7D75">
        <w:rPr>
          <w:sz w:val="26"/>
          <w:szCs w:val="26"/>
        </w:rPr>
        <w:t xml:space="preserve"> – 210,0 тис. гривень;</w:t>
      </w:r>
    </w:p>
    <w:p w:rsidR="00730533" w:rsidRPr="002C7D75" w:rsidRDefault="00423104" w:rsidP="002C7D75">
      <w:pPr>
        <w:ind w:firstLine="567"/>
        <w:jc w:val="both"/>
        <w:rPr>
          <w:sz w:val="26"/>
          <w:szCs w:val="26"/>
        </w:rPr>
      </w:pPr>
      <w:r w:rsidRPr="002C7D75">
        <w:rPr>
          <w:sz w:val="26"/>
          <w:szCs w:val="26"/>
        </w:rPr>
        <w:t>-</w:t>
      </w:r>
      <w:r w:rsidR="00730533" w:rsidRPr="002C7D75">
        <w:rPr>
          <w:sz w:val="26"/>
          <w:szCs w:val="26"/>
        </w:rPr>
        <w:t xml:space="preserve"> Реконструкція парку імені Чайковського (служба відновлення та розвитку інфраструктури у Сумській області)</w:t>
      </w:r>
      <w:r w:rsidR="001D290A" w:rsidRPr="002C7D75">
        <w:rPr>
          <w:sz w:val="26"/>
          <w:szCs w:val="26"/>
        </w:rPr>
        <w:t xml:space="preserve"> - 5,0 тис. </w:t>
      </w:r>
      <w:r w:rsidRPr="002C7D75">
        <w:rPr>
          <w:sz w:val="26"/>
          <w:szCs w:val="26"/>
        </w:rPr>
        <w:t>г</w:t>
      </w:r>
      <w:r w:rsidR="001D290A" w:rsidRPr="002C7D75">
        <w:rPr>
          <w:sz w:val="26"/>
          <w:szCs w:val="26"/>
        </w:rPr>
        <w:t>ривень</w:t>
      </w:r>
      <w:r w:rsidRPr="002C7D75">
        <w:rPr>
          <w:sz w:val="26"/>
          <w:szCs w:val="26"/>
        </w:rPr>
        <w:t>;</w:t>
      </w:r>
    </w:p>
    <w:p w:rsidR="001D290A" w:rsidRPr="002C7D75" w:rsidRDefault="00423104" w:rsidP="002C7D75">
      <w:pPr>
        <w:ind w:firstLine="567"/>
        <w:jc w:val="both"/>
        <w:rPr>
          <w:sz w:val="26"/>
          <w:szCs w:val="26"/>
        </w:rPr>
      </w:pPr>
      <w:r w:rsidRPr="002C7D75">
        <w:rPr>
          <w:sz w:val="26"/>
          <w:szCs w:val="26"/>
        </w:rPr>
        <w:t>-</w:t>
      </w:r>
      <w:r w:rsidR="001D290A" w:rsidRPr="002C7D75">
        <w:rPr>
          <w:sz w:val="26"/>
          <w:szCs w:val="26"/>
        </w:rPr>
        <w:t xml:space="preserve"> </w:t>
      </w:r>
      <w:r w:rsidR="00E21A22" w:rsidRPr="002C7D75">
        <w:rPr>
          <w:sz w:val="26"/>
          <w:szCs w:val="26"/>
        </w:rPr>
        <w:t xml:space="preserve">Реконструкція об"єктів інфраструктури, будівель, споруд, зовнішніх мереж та прилеглої території площі 40-ї (служба відновлення та розвитку інфраструктури у Сумській області) </w:t>
      </w:r>
      <w:r w:rsidR="001D290A" w:rsidRPr="002C7D75">
        <w:rPr>
          <w:sz w:val="26"/>
          <w:szCs w:val="26"/>
        </w:rPr>
        <w:t>– 5,0 тис. гривень.</w:t>
      </w:r>
    </w:p>
    <w:p w:rsidR="00706665" w:rsidRPr="002C7D75" w:rsidRDefault="00706665" w:rsidP="002C7D75">
      <w:pPr>
        <w:ind w:firstLine="567"/>
        <w:jc w:val="both"/>
        <w:rPr>
          <w:sz w:val="26"/>
          <w:szCs w:val="26"/>
        </w:rPr>
      </w:pPr>
    </w:p>
    <w:p w:rsidR="00FE2074" w:rsidRPr="002C7D75" w:rsidRDefault="00FE2074" w:rsidP="00D24EB8">
      <w:pPr>
        <w:jc w:val="center"/>
        <w:rPr>
          <w:b/>
          <w:bCs/>
          <w:iCs/>
          <w:sz w:val="26"/>
          <w:szCs w:val="26"/>
          <w:u w:val="single"/>
        </w:rPr>
      </w:pPr>
    </w:p>
    <w:p w:rsidR="00D24EB8" w:rsidRPr="002C7D75" w:rsidRDefault="00D24EB8" w:rsidP="00D24EB8">
      <w:pPr>
        <w:jc w:val="center"/>
        <w:rPr>
          <w:b/>
          <w:bCs/>
          <w:iCs/>
          <w:sz w:val="26"/>
          <w:szCs w:val="26"/>
          <w:u w:val="single"/>
        </w:rPr>
      </w:pPr>
      <w:r w:rsidRPr="002C7D75">
        <w:rPr>
          <w:b/>
          <w:bCs/>
          <w:iCs/>
          <w:sz w:val="26"/>
          <w:szCs w:val="26"/>
          <w:u w:val="single"/>
        </w:rPr>
        <w:lastRenderedPageBreak/>
        <w:t>Головний розпорядник коштів «Фінансове управління»</w:t>
      </w:r>
    </w:p>
    <w:p w:rsidR="00D24EB8" w:rsidRPr="002C7D75" w:rsidRDefault="00D24EB8" w:rsidP="00D24EB8">
      <w:pPr>
        <w:ind w:left="360"/>
        <w:jc w:val="both"/>
        <w:rPr>
          <w:b/>
          <w:bCs/>
          <w:iCs/>
          <w:sz w:val="26"/>
          <w:szCs w:val="26"/>
        </w:rPr>
      </w:pPr>
    </w:p>
    <w:p w:rsidR="00D24EB8" w:rsidRPr="002C7D75" w:rsidRDefault="00D24EB8" w:rsidP="00D24EB8">
      <w:pPr>
        <w:pStyle w:val="ac"/>
        <w:suppressAutoHyphens/>
        <w:ind w:firstLine="567"/>
        <w:jc w:val="both"/>
        <w:rPr>
          <w:b/>
          <w:sz w:val="26"/>
          <w:szCs w:val="26"/>
        </w:rPr>
      </w:pPr>
      <w:r w:rsidRPr="002C7D75">
        <w:rPr>
          <w:sz w:val="26"/>
          <w:szCs w:val="26"/>
        </w:rPr>
        <w:t>Видатки бюджету</w:t>
      </w:r>
      <w:r w:rsidR="0069093B" w:rsidRPr="002C7D75">
        <w:rPr>
          <w:sz w:val="26"/>
          <w:szCs w:val="26"/>
        </w:rPr>
        <w:t xml:space="preserve"> по головному розпоряднику коштів «Фінансове управління»</w:t>
      </w:r>
      <w:r w:rsidRPr="002C7D75">
        <w:rPr>
          <w:bCs/>
          <w:sz w:val="26"/>
          <w:szCs w:val="26"/>
        </w:rPr>
        <w:t xml:space="preserve"> Тростянецької міської </w:t>
      </w:r>
      <w:r w:rsidR="0069093B" w:rsidRPr="002C7D75">
        <w:rPr>
          <w:bCs/>
          <w:sz w:val="26"/>
          <w:szCs w:val="26"/>
        </w:rPr>
        <w:t>ради</w:t>
      </w:r>
      <w:r w:rsidRPr="002C7D75">
        <w:rPr>
          <w:bCs/>
          <w:sz w:val="26"/>
          <w:szCs w:val="26"/>
        </w:rPr>
        <w:t xml:space="preserve"> на</w:t>
      </w:r>
      <w:r w:rsidR="000A73F9" w:rsidRPr="002C7D75">
        <w:rPr>
          <w:sz w:val="26"/>
          <w:szCs w:val="26"/>
        </w:rPr>
        <w:t xml:space="preserve"> 202</w:t>
      </w:r>
      <w:r w:rsidR="00432787" w:rsidRPr="002C7D75">
        <w:rPr>
          <w:sz w:val="26"/>
          <w:szCs w:val="26"/>
        </w:rPr>
        <w:t>6</w:t>
      </w:r>
      <w:r w:rsidR="000A73F9" w:rsidRPr="002C7D75">
        <w:rPr>
          <w:sz w:val="26"/>
          <w:szCs w:val="26"/>
        </w:rPr>
        <w:t xml:space="preserve"> рік </w:t>
      </w:r>
      <w:r w:rsidRPr="002C7D75">
        <w:rPr>
          <w:sz w:val="26"/>
          <w:szCs w:val="26"/>
        </w:rPr>
        <w:t>затверджені в сумі 4</w:t>
      </w:r>
      <w:r w:rsidR="00432787" w:rsidRPr="002C7D75">
        <w:rPr>
          <w:sz w:val="26"/>
          <w:szCs w:val="26"/>
        </w:rPr>
        <w:t> 034,2</w:t>
      </w:r>
      <w:r w:rsidRPr="002C7D75">
        <w:rPr>
          <w:sz w:val="26"/>
          <w:szCs w:val="26"/>
        </w:rPr>
        <w:t xml:space="preserve"> тис. гривень. </w:t>
      </w:r>
    </w:p>
    <w:p w:rsidR="00D24EB8" w:rsidRPr="002C7D75" w:rsidRDefault="00D24EB8" w:rsidP="00D24EB8">
      <w:pPr>
        <w:ind w:firstLine="567"/>
        <w:jc w:val="both"/>
        <w:rPr>
          <w:b/>
          <w:sz w:val="26"/>
          <w:szCs w:val="26"/>
        </w:rPr>
      </w:pPr>
    </w:p>
    <w:p w:rsidR="00D24EB8" w:rsidRPr="002C7D75" w:rsidRDefault="00D24EB8" w:rsidP="00D24EB8">
      <w:pPr>
        <w:ind w:firstLine="567"/>
        <w:jc w:val="both"/>
        <w:rPr>
          <w:sz w:val="26"/>
          <w:szCs w:val="26"/>
        </w:rPr>
      </w:pPr>
      <w:r w:rsidRPr="002C7D75">
        <w:rPr>
          <w:b/>
          <w:sz w:val="26"/>
          <w:szCs w:val="26"/>
        </w:rPr>
        <w:t>Апарат фінансового управління</w:t>
      </w:r>
      <w:r w:rsidRPr="002C7D75">
        <w:rPr>
          <w:sz w:val="26"/>
          <w:szCs w:val="26"/>
        </w:rPr>
        <w:t xml:space="preserve"> у сумі </w:t>
      </w:r>
      <w:r w:rsidR="00432787" w:rsidRPr="002C7D75">
        <w:rPr>
          <w:sz w:val="26"/>
          <w:szCs w:val="26"/>
        </w:rPr>
        <w:t>3</w:t>
      </w:r>
      <w:r w:rsidR="000A2F70" w:rsidRPr="002C7D75">
        <w:rPr>
          <w:sz w:val="26"/>
          <w:szCs w:val="26"/>
        </w:rPr>
        <w:t> 508,7</w:t>
      </w:r>
      <w:r w:rsidRPr="002C7D75">
        <w:rPr>
          <w:sz w:val="26"/>
          <w:szCs w:val="26"/>
        </w:rPr>
        <w:t xml:space="preserve"> тис. гривень в тому числі оплата праці з нарахуванням у сумі </w:t>
      </w:r>
      <w:r w:rsidR="00432787" w:rsidRPr="002C7D75">
        <w:rPr>
          <w:sz w:val="26"/>
          <w:szCs w:val="26"/>
        </w:rPr>
        <w:t>3 233,0</w:t>
      </w:r>
      <w:r w:rsidRPr="002C7D75">
        <w:rPr>
          <w:sz w:val="26"/>
          <w:szCs w:val="26"/>
        </w:rPr>
        <w:t xml:space="preserve"> тис. гривень, комунальні послуги та енергоносії у сумі 1</w:t>
      </w:r>
      <w:r w:rsidR="00432787" w:rsidRPr="002C7D75">
        <w:rPr>
          <w:sz w:val="26"/>
          <w:szCs w:val="26"/>
        </w:rPr>
        <w:t>19,4</w:t>
      </w:r>
      <w:r w:rsidRPr="002C7D75">
        <w:rPr>
          <w:sz w:val="26"/>
          <w:szCs w:val="26"/>
        </w:rPr>
        <w:t xml:space="preserve"> тис. гривень. </w:t>
      </w:r>
    </w:p>
    <w:p w:rsidR="00D24EB8" w:rsidRPr="002C7D75" w:rsidRDefault="00D24EB8" w:rsidP="00D24EB8">
      <w:pPr>
        <w:ind w:firstLine="567"/>
        <w:jc w:val="both"/>
        <w:rPr>
          <w:sz w:val="26"/>
          <w:szCs w:val="26"/>
        </w:rPr>
      </w:pPr>
      <w:r w:rsidRPr="002C7D75">
        <w:rPr>
          <w:b/>
          <w:bCs/>
          <w:sz w:val="26"/>
          <w:szCs w:val="26"/>
        </w:rPr>
        <w:t>Резервний фонд</w:t>
      </w:r>
      <w:r w:rsidRPr="002C7D75">
        <w:rPr>
          <w:sz w:val="26"/>
          <w:szCs w:val="26"/>
        </w:rPr>
        <w:t xml:space="preserve"> в сумі </w:t>
      </w:r>
      <w:r w:rsidR="00432787" w:rsidRPr="002C7D75">
        <w:rPr>
          <w:sz w:val="26"/>
          <w:szCs w:val="26"/>
        </w:rPr>
        <w:t>400</w:t>
      </w:r>
      <w:r w:rsidRPr="002C7D75">
        <w:rPr>
          <w:sz w:val="26"/>
          <w:szCs w:val="26"/>
        </w:rPr>
        <w:t>,0 тис. гривень.</w:t>
      </w:r>
    </w:p>
    <w:p w:rsidR="00D24EB8" w:rsidRPr="002C7D75" w:rsidRDefault="00D24EB8" w:rsidP="000A73F9">
      <w:pPr>
        <w:ind w:firstLine="567"/>
        <w:jc w:val="both"/>
        <w:rPr>
          <w:sz w:val="26"/>
          <w:szCs w:val="26"/>
        </w:rPr>
      </w:pPr>
      <w:r w:rsidRPr="002C7D75">
        <w:rPr>
          <w:b/>
          <w:bCs/>
          <w:sz w:val="26"/>
          <w:szCs w:val="26"/>
        </w:rPr>
        <w:t xml:space="preserve">Інші субвенції з місцевого бюджету </w:t>
      </w:r>
      <w:r w:rsidRPr="002C7D75">
        <w:rPr>
          <w:bCs/>
          <w:sz w:val="26"/>
          <w:szCs w:val="26"/>
        </w:rPr>
        <w:t>у сумі</w:t>
      </w:r>
      <w:r w:rsidRPr="002C7D75">
        <w:rPr>
          <w:sz w:val="26"/>
          <w:szCs w:val="26"/>
        </w:rPr>
        <w:t xml:space="preserve"> </w:t>
      </w:r>
      <w:r w:rsidR="000A2F70" w:rsidRPr="002C7D75">
        <w:rPr>
          <w:sz w:val="26"/>
          <w:szCs w:val="26"/>
        </w:rPr>
        <w:t>125,5</w:t>
      </w:r>
      <w:r w:rsidRPr="002C7D75">
        <w:rPr>
          <w:sz w:val="26"/>
          <w:szCs w:val="26"/>
        </w:rPr>
        <w:t xml:space="preserve"> тис. гривень. Дані кошти передбачені на надання субвенції з місцевого бюджету до </w:t>
      </w:r>
      <w:r w:rsidR="000A73F9" w:rsidRPr="002C7D75">
        <w:rPr>
          <w:sz w:val="26"/>
          <w:szCs w:val="26"/>
        </w:rPr>
        <w:t xml:space="preserve">Сумського </w:t>
      </w:r>
      <w:r w:rsidRPr="002C7D75">
        <w:rPr>
          <w:sz w:val="26"/>
          <w:szCs w:val="26"/>
        </w:rPr>
        <w:t>обласного бюджету</w:t>
      </w:r>
      <w:r w:rsidR="000A73F9" w:rsidRPr="002C7D75">
        <w:rPr>
          <w:sz w:val="26"/>
          <w:szCs w:val="26"/>
        </w:rPr>
        <w:t xml:space="preserve"> </w:t>
      </w:r>
      <w:r w:rsidRPr="002C7D75">
        <w:rPr>
          <w:sz w:val="26"/>
          <w:szCs w:val="26"/>
        </w:rPr>
        <w:t xml:space="preserve">згідно розпорядження голови обласної державної адміністрації № </w:t>
      </w:r>
      <w:r w:rsidR="004D1C3F" w:rsidRPr="002C7D75">
        <w:rPr>
          <w:sz w:val="26"/>
          <w:szCs w:val="26"/>
        </w:rPr>
        <w:t>778</w:t>
      </w:r>
      <w:r w:rsidRPr="002C7D75">
        <w:rPr>
          <w:sz w:val="26"/>
          <w:szCs w:val="26"/>
        </w:rPr>
        <w:t xml:space="preserve">-ОД від </w:t>
      </w:r>
      <w:r w:rsidR="004D1C3F" w:rsidRPr="002C7D75">
        <w:rPr>
          <w:sz w:val="26"/>
          <w:szCs w:val="26"/>
        </w:rPr>
        <w:t>24</w:t>
      </w:r>
      <w:r w:rsidRPr="002C7D75">
        <w:rPr>
          <w:sz w:val="26"/>
          <w:szCs w:val="26"/>
        </w:rPr>
        <w:t>.11.202</w:t>
      </w:r>
      <w:r w:rsidR="004D1C3F" w:rsidRPr="002C7D75">
        <w:rPr>
          <w:sz w:val="26"/>
          <w:szCs w:val="26"/>
        </w:rPr>
        <w:t>5</w:t>
      </w:r>
      <w:r w:rsidRPr="002C7D75">
        <w:rPr>
          <w:sz w:val="26"/>
          <w:szCs w:val="26"/>
        </w:rPr>
        <w:t xml:space="preserve"> року </w:t>
      </w:r>
      <w:r w:rsidR="002C7D75" w:rsidRPr="002C7D75">
        <w:rPr>
          <w:sz w:val="26"/>
          <w:szCs w:val="26"/>
        </w:rPr>
        <w:t>для забезпечення здійснення компенсаційних виплат за пільговий проїзд Захисників і Захисниць України та інших ветеранів війни та за пільговий проїзд окремих категорій громадян автомобільним транспортом на автобусних маршрутах загального користування в Сумській області</w:t>
      </w:r>
      <w:r w:rsidR="00432787" w:rsidRPr="002C7D75">
        <w:rPr>
          <w:sz w:val="26"/>
          <w:szCs w:val="26"/>
        </w:rPr>
        <w:t>.</w:t>
      </w:r>
    </w:p>
    <w:p w:rsidR="000A73F9" w:rsidRPr="002C7D75" w:rsidRDefault="000A73F9" w:rsidP="00D24EB8">
      <w:pPr>
        <w:ind w:firstLine="567"/>
        <w:jc w:val="both"/>
        <w:rPr>
          <w:sz w:val="26"/>
          <w:szCs w:val="26"/>
        </w:rPr>
      </w:pPr>
    </w:p>
    <w:p w:rsidR="00D24EB8" w:rsidRPr="002C7D75" w:rsidRDefault="00D24EB8" w:rsidP="00D24EB8">
      <w:pPr>
        <w:ind w:firstLine="567"/>
        <w:jc w:val="both"/>
        <w:rPr>
          <w:sz w:val="26"/>
          <w:szCs w:val="26"/>
        </w:rPr>
      </w:pPr>
      <w:r w:rsidRPr="002C7D75">
        <w:rPr>
          <w:sz w:val="26"/>
          <w:szCs w:val="26"/>
        </w:rPr>
        <w:t>При складанні проєкту бюджету Тростянецької міської територіальної громади у першочерговому порядку враховано потребу в коштах на оплату праці, проведення розрахунків за комунальні послуги та енергоносії.</w:t>
      </w:r>
    </w:p>
    <w:p w:rsidR="009D2D86" w:rsidRPr="009D2D86" w:rsidRDefault="00D24EB8" w:rsidP="00A57765">
      <w:pPr>
        <w:ind w:firstLine="567"/>
        <w:jc w:val="both"/>
        <w:rPr>
          <w:sz w:val="26"/>
          <w:szCs w:val="26"/>
        </w:rPr>
      </w:pPr>
      <w:r w:rsidRPr="002C7D75">
        <w:rPr>
          <w:sz w:val="26"/>
          <w:szCs w:val="26"/>
        </w:rPr>
        <w:t>Показники бюджету Тростянецької міської територіальної громади на 202</w:t>
      </w:r>
      <w:r w:rsidR="008955D4" w:rsidRPr="002C7D75">
        <w:rPr>
          <w:sz w:val="26"/>
          <w:szCs w:val="26"/>
        </w:rPr>
        <w:t>6</w:t>
      </w:r>
      <w:r w:rsidRPr="002C7D75">
        <w:rPr>
          <w:sz w:val="26"/>
          <w:szCs w:val="26"/>
        </w:rPr>
        <w:t xml:space="preserve"> рік</w:t>
      </w:r>
      <w:r w:rsidRPr="0011430E">
        <w:rPr>
          <w:sz w:val="26"/>
          <w:szCs w:val="26"/>
        </w:rPr>
        <w:t xml:space="preserve"> спрямовані на забезпечення фінансовими ресурсами заходів Тростянецької міської територіальної громади за вищезазначеними напрямками, проведення раціонального використання бюджетних коштів, забезпечення можливості надання якісної освіти, створення належних умов для збереження і зміцнення здоров’я населення міста, забезпечення належного рівня соціального обслуговування малозабезпечених верств населення, підвищення культурного рівня населенн</w:t>
      </w:r>
      <w:r w:rsidR="00A57765">
        <w:rPr>
          <w:sz w:val="26"/>
          <w:szCs w:val="26"/>
        </w:rPr>
        <w:t>я.</w:t>
      </w:r>
    </w:p>
    <w:p w:rsidR="00A601A2" w:rsidRDefault="00A601A2" w:rsidP="00D24EB8">
      <w:pPr>
        <w:rPr>
          <w:b/>
          <w:bCs/>
          <w:sz w:val="26"/>
          <w:szCs w:val="26"/>
        </w:rPr>
      </w:pPr>
    </w:p>
    <w:p w:rsidR="00A601A2" w:rsidRDefault="00A601A2" w:rsidP="00D24EB8">
      <w:pPr>
        <w:rPr>
          <w:b/>
          <w:bCs/>
          <w:sz w:val="26"/>
          <w:szCs w:val="26"/>
        </w:rPr>
      </w:pPr>
    </w:p>
    <w:p w:rsidR="00A601A2" w:rsidRDefault="00A601A2" w:rsidP="00D24EB8">
      <w:pPr>
        <w:rPr>
          <w:b/>
          <w:bCs/>
          <w:sz w:val="26"/>
          <w:szCs w:val="26"/>
        </w:rPr>
      </w:pPr>
    </w:p>
    <w:p w:rsidR="00D24EB8" w:rsidRPr="000C3170" w:rsidRDefault="00D24EB8" w:rsidP="00D24EB8">
      <w:pPr>
        <w:rPr>
          <w:b/>
          <w:bCs/>
          <w:sz w:val="26"/>
          <w:szCs w:val="26"/>
        </w:rPr>
      </w:pPr>
      <w:r w:rsidRPr="000C3170">
        <w:rPr>
          <w:b/>
          <w:bCs/>
          <w:sz w:val="26"/>
          <w:szCs w:val="26"/>
        </w:rPr>
        <w:t xml:space="preserve">Начальник </w:t>
      </w:r>
    </w:p>
    <w:p w:rsidR="00D24EB8" w:rsidRPr="000C3170" w:rsidRDefault="00D24EB8" w:rsidP="00D24EB8">
      <w:pPr>
        <w:rPr>
          <w:b/>
          <w:sz w:val="26"/>
          <w:szCs w:val="26"/>
        </w:rPr>
      </w:pPr>
      <w:r w:rsidRPr="000C3170">
        <w:rPr>
          <w:b/>
          <w:bCs/>
          <w:sz w:val="26"/>
          <w:szCs w:val="26"/>
        </w:rPr>
        <w:t>фінансового управління</w:t>
      </w:r>
      <w:r w:rsidRPr="000C3170">
        <w:rPr>
          <w:b/>
          <w:bCs/>
          <w:sz w:val="26"/>
          <w:szCs w:val="26"/>
        </w:rPr>
        <w:tab/>
        <w:t xml:space="preserve">                </w:t>
      </w:r>
      <w:r w:rsidRPr="000C3170">
        <w:rPr>
          <w:b/>
          <w:bCs/>
          <w:sz w:val="26"/>
          <w:szCs w:val="26"/>
        </w:rPr>
        <w:tab/>
        <w:t xml:space="preserve">    </w:t>
      </w:r>
      <w:r>
        <w:rPr>
          <w:b/>
          <w:bCs/>
          <w:sz w:val="26"/>
          <w:szCs w:val="26"/>
        </w:rPr>
        <w:t xml:space="preserve">                  </w:t>
      </w:r>
      <w:r w:rsidR="00AF59AC">
        <w:rPr>
          <w:b/>
          <w:bCs/>
          <w:sz w:val="26"/>
          <w:szCs w:val="26"/>
        </w:rPr>
        <w:t>Альона КАЛІНІЧЕНКО</w:t>
      </w:r>
    </w:p>
    <w:p w:rsidR="00ED0B90" w:rsidRDefault="00ED0B90" w:rsidP="00ED0B90">
      <w:pPr>
        <w:pStyle w:val="ab"/>
        <w:spacing w:before="0"/>
        <w:ind w:left="1069" w:firstLine="0"/>
        <w:rPr>
          <w:sz w:val="28"/>
          <w:szCs w:val="28"/>
        </w:rPr>
      </w:pPr>
    </w:p>
    <w:sectPr w:rsidR="00ED0B90" w:rsidSect="008F52C3">
      <w:headerReference w:type="default" r:id="rId18"/>
      <w:pgSz w:w="11906" w:h="16838"/>
      <w:pgMar w:top="1134" w:right="850" w:bottom="993"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7D75" w:rsidRDefault="002C7D75" w:rsidP="008F52C3">
      <w:r>
        <w:separator/>
      </w:r>
    </w:p>
  </w:endnote>
  <w:endnote w:type="continuationSeparator" w:id="0">
    <w:p w:rsidR="002C7D75" w:rsidRDefault="002C7D75" w:rsidP="008F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7D75" w:rsidRDefault="002C7D75" w:rsidP="008F52C3">
      <w:r>
        <w:separator/>
      </w:r>
    </w:p>
  </w:footnote>
  <w:footnote w:type="continuationSeparator" w:id="0">
    <w:p w:rsidR="002C7D75" w:rsidRDefault="002C7D75" w:rsidP="008F5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46624"/>
      <w:docPartObj>
        <w:docPartGallery w:val="Page Numbers (Top of Page)"/>
        <w:docPartUnique/>
      </w:docPartObj>
    </w:sdtPr>
    <w:sdtContent>
      <w:p w:rsidR="002C7D75" w:rsidRDefault="002C7D75">
        <w:pPr>
          <w:pStyle w:val="ae"/>
          <w:jc w:val="right"/>
        </w:pPr>
        <w:r>
          <w:fldChar w:fldCharType="begin"/>
        </w:r>
        <w:r>
          <w:instrText>PAGE   \* MERGEFORMAT</w:instrText>
        </w:r>
        <w:r>
          <w:fldChar w:fldCharType="separate"/>
        </w:r>
        <w:r w:rsidRPr="00BF4CAB">
          <w:rPr>
            <w:noProof/>
            <w:lang w:val="ru-RU"/>
          </w:rPr>
          <w:t>23</w:t>
        </w:r>
        <w:r>
          <w:fldChar w:fldCharType="end"/>
        </w:r>
      </w:p>
    </w:sdtContent>
  </w:sdt>
  <w:p w:rsidR="002C7D75" w:rsidRDefault="002C7D7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53FDC"/>
    <w:multiLevelType w:val="hybridMultilevel"/>
    <w:tmpl w:val="A300ABB0"/>
    <w:lvl w:ilvl="0" w:tplc="91C0DFD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1CF173F1"/>
    <w:multiLevelType w:val="hybridMultilevel"/>
    <w:tmpl w:val="AF303AA8"/>
    <w:lvl w:ilvl="0" w:tplc="E0D4AA60">
      <w:start w:val="576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1DCA0EF4"/>
    <w:multiLevelType w:val="multilevel"/>
    <w:tmpl w:val="9FA8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C33D06"/>
    <w:multiLevelType w:val="hybridMultilevel"/>
    <w:tmpl w:val="55A07230"/>
    <w:lvl w:ilvl="0" w:tplc="F528C4B8">
      <w:numFmt w:val="bullet"/>
      <w:suff w:val="nothing"/>
      <w:lvlText w:val="-"/>
      <w:lvlJc w:val="left"/>
      <w:pPr>
        <w:ind w:left="567" w:firstLine="113"/>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5" w15:restartNumberingAfterBreak="0">
    <w:nsid w:val="2E5F1BD1"/>
    <w:multiLevelType w:val="hybridMultilevel"/>
    <w:tmpl w:val="AC7EF59A"/>
    <w:lvl w:ilvl="0" w:tplc="7492793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32667BD"/>
    <w:multiLevelType w:val="multilevel"/>
    <w:tmpl w:val="103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8B7F36"/>
    <w:multiLevelType w:val="hybridMultilevel"/>
    <w:tmpl w:val="FA76252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 w15:restartNumberingAfterBreak="0">
    <w:nsid w:val="3918072E"/>
    <w:multiLevelType w:val="hybridMultilevel"/>
    <w:tmpl w:val="F9E46056"/>
    <w:lvl w:ilvl="0" w:tplc="7492793C">
      <w:start w:val="1"/>
      <w:numFmt w:val="bullet"/>
      <w:lvlText w:val=""/>
      <w:lvlJc w:val="left"/>
      <w:pPr>
        <w:ind w:left="1637" w:hanging="360"/>
      </w:pPr>
      <w:rPr>
        <w:rFonts w:ascii="Symbol" w:hAnsi="Symbol" w:hint="default"/>
      </w:rPr>
    </w:lvl>
    <w:lvl w:ilvl="1" w:tplc="04090003">
      <w:start w:val="1"/>
      <w:numFmt w:val="bullet"/>
      <w:lvlText w:val="o"/>
      <w:lvlJc w:val="left"/>
      <w:pPr>
        <w:ind w:left="2357" w:hanging="360"/>
      </w:pPr>
      <w:rPr>
        <w:rFonts w:ascii="Courier New" w:hAnsi="Courier New" w:cs="Courier New" w:hint="default"/>
      </w:rPr>
    </w:lvl>
    <w:lvl w:ilvl="2" w:tplc="04090005">
      <w:start w:val="1"/>
      <w:numFmt w:val="bullet"/>
      <w:lvlText w:val=""/>
      <w:lvlJc w:val="left"/>
      <w:pPr>
        <w:ind w:left="3077" w:hanging="360"/>
      </w:pPr>
      <w:rPr>
        <w:rFonts w:ascii="Wingdings" w:hAnsi="Wingdings" w:hint="default"/>
      </w:rPr>
    </w:lvl>
    <w:lvl w:ilvl="3" w:tplc="04090001">
      <w:start w:val="1"/>
      <w:numFmt w:val="bullet"/>
      <w:lvlText w:val=""/>
      <w:lvlJc w:val="left"/>
      <w:pPr>
        <w:ind w:left="3797" w:hanging="360"/>
      </w:pPr>
      <w:rPr>
        <w:rFonts w:ascii="Symbol" w:hAnsi="Symbol" w:hint="default"/>
      </w:rPr>
    </w:lvl>
    <w:lvl w:ilvl="4" w:tplc="04090003">
      <w:start w:val="1"/>
      <w:numFmt w:val="bullet"/>
      <w:lvlText w:val="o"/>
      <w:lvlJc w:val="left"/>
      <w:pPr>
        <w:ind w:left="4517" w:hanging="360"/>
      </w:pPr>
      <w:rPr>
        <w:rFonts w:ascii="Courier New" w:hAnsi="Courier New" w:cs="Courier New" w:hint="default"/>
      </w:rPr>
    </w:lvl>
    <w:lvl w:ilvl="5" w:tplc="04090005">
      <w:start w:val="1"/>
      <w:numFmt w:val="bullet"/>
      <w:lvlText w:val=""/>
      <w:lvlJc w:val="left"/>
      <w:pPr>
        <w:ind w:left="5237" w:hanging="360"/>
      </w:pPr>
      <w:rPr>
        <w:rFonts w:ascii="Wingdings" w:hAnsi="Wingdings" w:hint="default"/>
      </w:rPr>
    </w:lvl>
    <w:lvl w:ilvl="6" w:tplc="04090001">
      <w:start w:val="1"/>
      <w:numFmt w:val="bullet"/>
      <w:lvlText w:val=""/>
      <w:lvlJc w:val="left"/>
      <w:pPr>
        <w:ind w:left="5957" w:hanging="360"/>
      </w:pPr>
      <w:rPr>
        <w:rFonts w:ascii="Symbol" w:hAnsi="Symbol" w:hint="default"/>
      </w:rPr>
    </w:lvl>
    <w:lvl w:ilvl="7" w:tplc="04090003">
      <w:start w:val="1"/>
      <w:numFmt w:val="bullet"/>
      <w:lvlText w:val="o"/>
      <w:lvlJc w:val="left"/>
      <w:pPr>
        <w:ind w:left="6677" w:hanging="360"/>
      </w:pPr>
      <w:rPr>
        <w:rFonts w:ascii="Courier New" w:hAnsi="Courier New" w:cs="Courier New" w:hint="default"/>
      </w:rPr>
    </w:lvl>
    <w:lvl w:ilvl="8" w:tplc="04090005">
      <w:start w:val="1"/>
      <w:numFmt w:val="bullet"/>
      <w:lvlText w:val=""/>
      <w:lvlJc w:val="left"/>
      <w:pPr>
        <w:ind w:left="7397" w:hanging="360"/>
      </w:pPr>
      <w:rPr>
        <w:rFonts w:ascii="Wingdings" w:hAnsi="Wingdings" w:hint="default"/>
      </w:rPr>
    </w:lvl>
  </w:abstractNum>
  <w:abstractNum w:abstractNumId="9" w15:restartNumberingAfterBreak="0">
    <w:nsid w:val="4B1C358D"/>
    <w:multiLevelType w:val="hybridMultilevel"/>
    <w:tmpl w:val="CDF0FA4E"/>
    <w:lvl w:ilvl="0" w:tplc="FA1ED4D6">
      <w:numFmt w:val="bullet"/>
      <w:lvlText w:val="-"/>
      <w:lvlJc w:val="left"/>
      <w:pPr>
        <w:ind w:left="1352" w:hanging="360"/>
      </w:pPr>
      <w:rPr>
        <w:rFonts w:ascii="Times New Roman" w:eastAsia="Times New Roman" w:hAnsi="Times New Roman" w:cs="Times New Roman" w:hint="default"/>
      </w:rPr>
    </w:lvl>
    <w:lvl w:ilvl="1" w:tplc="04220003" w:tentative="1">
      <w:start w:val="1"/>
      <w:numFmt w:val="bullet"/>
      <w:lvlText w:val="o"/>
      <w:lvlJc w:val="left"/>
      <w:pPr>
        <w:ind w:left="2072" w:hanging="360"/>
      </w:pPr>
      <w:rPr>
        <w:rFonts w:ascii="Courier New" w:hAnsi="Courier New" w:cs="Courier New" w:hint="default"/>
      </w:rPr>
    </w:lvl>
    <w:lvl w:ilvl="2" w:tplc="04220005" w:tentative="1">
      <w:start w:val="1"/>
      <w:numFmt w:val="bullet"/>
      <w:lvlText w:val=""/>
      <w:lvlJc w:val="left"/>
      <w:pPr>
        <w:ind w:left="2792" w:hanging="360"/>
      </w:pPr>
      <w:rPr>
        <w:rFonts w:ascii="Wingdings" w:hAnsi="Wingdings" w:hint="default"/>
      </w:rPr>
    </w:lvl>
    <w:lvl w:ilvl="3" w:tplc="04220001" w:tentative="1">
      <w:start w:val="1"/>
      <w:numFmt w:val="bullet"/>
      <w:lvlText w:val=""/>
      <w:lvlJc w:val="left"/>
      <w:pPr>
        <w:ind w:left="3512" w:hanging="360"/>
      </w:pPr>
      <w:rPr>
        <w:rFonts w:ascii="Symbol" w:hAnsi="Symbol" w:hint="default"/>
      </w:rPr>
    </w:lvl>
    <w:lvl w:ilvl="4" w:tplc="04220003" w:tentative="1">
      <w:start w:val="1"/>
      <w:numFmt w:val="bullet"/>
      <w:lvlText w:val="o"/>
      <w:lvlJc w:val="left"/>
      <w:pPr>
        <w:ind w:left="4232" w:hanging="360"/>
      </w:pPr>
      <w:rPr>
        <w:rFonts w:ascii="Courier New" w:hAnsi="Courier New" w:cs="Courier New" w:hint="default"/>
      </w:rPr>
    </w:lvl>
    <w:lvl w:ilvl="5" w:tplc="04220005" w:tentative="1">
      <w:start w:val="1"/>
      <w:numFmt w:val="bullet"/>
      <w:lvlText w:val=""/>
      <w:lvlJc w:val="left"/>
      <w:pPr>
        <w:ind w:left="4952" w:hanging="360"/>
      </w:pPr>
      <w:rPr>
        <w:rFonts w:ascii="Wingdings" w:hAnsi="Wingdings" w:hint="default"/>
      </w:rPr>
    </w:lvl>
    <w:lvl w:ilvl="6" w:tplc="04220001" w:tentative="1">
      <w:start w:val="1"/>
      <w:numFmt w:val="bullet"/>
      <w:lvlText w:val=""/>
      <w:lvlJc w:val="left"/>
      <w:pPr>
        <w:ind w:left="5672" w:hanging="360"/>
      </w:pPr>
      <w:rPr>
        <w:rFonts w:ascii="Symbol" w:hAnsi="Symbol" w:hint="default"/>
      </w:rPr>
    </w:lvl>
    <w:lvl w:ilvl="7" w:tplc="04220003" w:tentative="1">
      <w:start w:val="1"/>
      <w:numFmt w:val="bullet"/>
      <w:lvlText w:val="o"/>
      <w:lvlJc w:val="left"/>
      <w:pPr>
        <w:ind w:left="6392" w:hanging="360"/>
      </w:pPr>
      <w:rPr>
        <w:rFonts w:ascii="Courier New" w:hAnsi="Courier New" w:cs="Courier New" w:hint="default"/>
      </w:rPr>
    </w:lvl>
    <w:lvl w:ilvl="8" w:tplc="04220005" w:tentative="1">
      <w:start w:val="1"/>
      <w:numFmt w:val="bullet"/>
      <w:lvlText w:val=""/>
      <w:lvlJc w:val="left"/>
      <w:pPr>
        <w:ind w:left="7112" w:hanging="360"/>
      </w:pPr>
      <w:rPr>
        <w:rFonts w:ascii="Wingdings" w:hAnsi="Wingdings" w:hint="default"/>
      </w:rPr>
    </w:lvl>
  </w:abstractNum>
  <w:abstractNum w:abstractNumId="10" w15:restartNumberingAfterBreak="0">
    <w:nsid w:val="68DB6524"/>
    <w:multiLevelType w:val="hybridMultilevel"/>
    <w:tmpl w:val="E7D20060"/>
    <w:lvl w:ilvl="0" w:tplc="4E988172">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abstractNum w:abstractNumId="11" w15:restartNumberingAfterBreak="0">
    <w:nsid w:val="6BEF7217"/>
    <w:multiLevelType w:val="hybridMultilevel"/>
    <w:tmpl w:val="3EB2C75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 w15:restartNumberingAfterBreak="0">
    <w:nsid w:val="77640F80"/>
    <w:multiLevelType w:val="hybridMultilevel"/>
    <w:tmpl w:val="BCB4EC44"/>
    <w:lvl w:ilvl="0" w:tplc="8348003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
  </w:num>
  <w:num w:numId="4">
    <w:abstractNumId w:val="10"/>
  </w:num>
  <w:num w:numId="5">
    <w:abstractNumId w:val="7"/>
  </w:num>
  <w:num w:numId="6">
    <w:abstractNumId w:val="5"/>
  </w:num>
  <w:num w:numId="7">
    <w:abstractNumId w:val="8"/>
  </w:num>
  <w:num w:numId="8">
    <w:abstractNumId w:val="3"/>
  </w:num>
  <w:num w:numId="9">
    <w:abstractNumId w:val="6"/>
  </w:num>
  <w:num w:numId="10">
    <w:abstractNumId w:val="9"/>
  </w:num>
  <w:num w:numId="11">
    <w:abstractNumId w:val="11"/>
  </w:num>
  <w:num w:numId="12">
    <w:abstractNumId w:val="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B98"/>
    <w:rsid w:val="00000856"/>
    <w:rsid w:val="00014138"/>
    <w:rsid w:val="00017D09"/>
    <w:rsid w:val="00040541"/>
    <w:rsid w:val="00051C21"/>
    <w:rsid w:val="00051C2A"/>
    <w:rsid w:val="000535BB"/>
    <w:rsid w:val="0005573F"/>
    <w:rsid w:val="00056AE5"/>
    <w:rsid w:val="00062871"/>
    <w:rsid w:val="00075729"/>
    <w:rsid w:val="00083546"/>
    <w:rsid w:val="000858C5"/>
    <w:rsid w:val="000A1CAF"/>
    <w:rsid w:val="000A2F70"/>
    <w:rsid w:val="000A73F9"/>
    <w:rsid w:val="000B1142"/>
    <w:rsid w:val="000B1B98"/>
    <w:rsid w:val="000B707E"/>
    <w:rsid w:val="000C217D"/>
    <w:rsid w:val="000C3ABD"/>
    <w:rsid w:val="000C6D7E"/>
    <w:rsid w:val="000C7E3C"/>
    <w:rsid w:val="000D426D"/>
    <w:rsid w:val="000E12C1"/>
    <w:rsid w:val="000E25D1"/>
    <w:rsid w:val="000E38A6"/>
    <w:rsid w:val="000F53FF"/>
    <w:rsid w:val="000F5703"/>
    <w:rsid w:val="001023E5"/>
    <w:rsid w:val="00103DCC"/>
    <w:rsid w:val="001040AB"/>
    <w:rsid w:val="00105B0A"/>
    <w:rsid w:val="0011430E"/>
    <w:rsid w:val="0012452D"/>
    <w:rsid w:val="00134A2E"/>
    <w:rsid w:val="00134CBA"/>
    <w:rsid w:val="00135521"/>
    <w:rsid w:val="00137F7C"/>
    <w:rsid w:val="001403BA"/>
    <w:rsid w:val="001428AB"/>
    <w:rsid w:val="00160763"/>
    <w:rsid w:val="0016688A"/>
    <w:rsid w:val="0017064F"/>
    <w:rsid w:val="0017573A"/>
    <w:rsid w:val="00186CD5"/>
    <w:rsid w:val="001904C2"/>
    <w:rsid w:val="00190CDB"/>
    <w:rsid w:val="00197E6C"/>
    <w:rsid w:val="001A0EFB"/>
    <w:rsid w:val="001C4369"/>
    <w:rsid w:val="001D290A"/>
    <w:rsid w:val="001D2F86"/>
    <w:rsid w:val="001D33EC"/>
    <w:rsid w:val="001E2661"/>
    <w:rsid w:val="001E5C5C"/>
    <w:rsid w:val="001F292D"/>
    <w:rsid w:val="0020660E"/>
    <w:rsid w:val="00224F9D"/>
    <w:rsid w:val="00242702"/>
    <w:rsid w:val="00246B9A"/>
    <w:rsid w:val="0025068C"/>
    <w:rsid w:val="00251EEE"/>
    <w:rsid w:val="00274E9E"/>
    <w:rsid w:val="002774DE"/>
    <w:rsid w:val="002805AF"/>
    <w:rsid w:val="00284777"/>
    <w:rsid w:val="002B39E7"/>
    <w:rsid w:val="002C7D75"/>
    <w:rsid w:val="002D2E00"/>
    <w:rsid w:val="002D3DA8"/>
    <w:rsid w:val="002E4CCD"/>
    <w:rsid w:val="002E6211"/>
    <w:rsid w:val="002F261E"/>
    <w:rsid w:val="002F3823"/>
    <w:rsid w:val="002F4BCB"/>
    <w:rsid w:val="00312A08"/>
    <w:rsid w:val="0031371B"/>
    <w:rsid w:val="00320A1B"/>
    <w:rsid w:val="00323C2C"/>
    <w:rsid w:val="0032589D"/>
    <w:rsid w:val="00331FFB"/>
    <w:rsid w:val="003324A7"/>
    <w:rsid w:val="00352C13"/>
    <w:rsid w:val="003551B0"/>
    <w:rsid w:val="00356199"/>
    <w:rsid w:val="00356E60"/>
    <w:rsid w:val="00363237"/>
    <w:rsid w:val="00372116"/>
    <w:rsid w:val="00384C7B"/>
    <w:rsid w:val="0038564A"/>
    <w:rsid w:val="00393962"/>
    <w:rsid w:val="00393EF4"/>
    <w:rsid w:val="00394224"/>
    <w:rsid w:val="003A4FA1"/>
    <w:rsid w:val="003B5442"/>
    <w:rsid w:val="003B6F7D"/>
    <w:rsid w:val="003C3EF1"/>
    <w:rsid w:val="003C706F"/>
    <w:rsid w:val="003D130E"/>
    <w:rsid w:val="004012F9"/>
    <w:rsid w:val="0040325F"/>
    <w:rsid w:val="00420337"/>
    <w:rsid w:val="00423104"/>
    <w:rsid w:val="00424221"/>
    <w:rsid w:val="00426583"/>
    <w:rsid w:val="00427B6D"/>
    <w:rsid w:val="00432787"/>
    <w:rsid w:val="00432D41"/>
    <w:rsid w:val="0043695F"/>
    <w:rsid w:val="00437878"/>
    <w:rsid w:val="00443BF1"/>
    <w:rsid w:val="00451613"/>
    <w:rsid w:val="004609DC"/>
    <w:rsid w:val="0046643E"/>
    <w:rsid w:val="0047278B"/>
    <w:rsid w:val="004923FD"/>
    <w:rsid w:val="0049758C"/>
    <w:rsid w:val="004B2353"/>
    <w:rsid w:val="004C2869"/>
    <w:rsid w:val="004D1C3F"/>
    <w:rsid w:val="004D3EEA"/>
    <w:rsid w:val="004D4D75"/>
    <w:rsid w:val="004E5725"/>
    <w:rsid w:val="004E5D4D"/>
    <w:rsid w:val="004F17A6"/>
    <w:rsid w:val="004F4D7E"/>
    <w:rsid w:val="00500EEE"/>
    <w:rsid w:val="00501667"/>
    <w:rsid w:val="00505EAB"/>
    <w:rsid w:val="005079DC"/>
    <w:rsid w:val="00507BBE"/>
    <w:rsid w:val="00510B18"/>
    <w:rsid w:val="00513DCB"/>
    <w:rsid w:val="00514D1E"/>
    <w:rsid w:val="00517261"/>
    <w:rsid w:val="0052115B"/>
    <w:rsid w:val="00524244"/>
    <w:rsid w:val="00530BB9"/>
    <w:rsid w:val="0053582C"/>
    <w:rsid w:val="00543B85"/>
    <w:rsid w:val="00554AA2"/>
    <w:rsid w:val="00563021"/>
    <w:rsid w:val="005641DB"/>
    <w:rsid w:val="00565B65"/>
    <w:rsid w:val="0057406A"/>
    <w:rsid w:val="00580F81"/>
    <w:rsid w:val="00592B3F"/>
    <w:rsid w:val="00592D89"/>
    <w:rsid w:val="005A4C2E"/>
    <w:rsid w:val="005C004E"/>
    <w:rsid w:val="005D111C"/>
    <w:rsid w:val="005D458F"/>
    <w:rsid w:val="005D706E"/>
    <w:rsid w:val="005E435C"/>
    <w:rsid w:val="005F0B2E"/>
    <w:rsid w:val="005F468B"/>
    <w:rsid w:val="00600464"/>
    <w:rsid w:val="006022FC"/>
    <w:rsid w:val="0060242F"/>
    <w:rsid w:val="006035EF"/>
    <w:rsid w:val="00606BCD"/>
    <w:rsid w:val="00614AE9"/>
    <w:rsid w:val="00615BBD"/>
    <w:rsid w:val="00617CA7"/>
    <w:rsid w:val="006250BE"/>
    <w:rsid w:val="00625BC3"/>
    <w:rsid w:val="00627FEA"/>
    <w:rsid w:val="00631B81"/>
    <w:rsid w:val="00631E9A"/>
    <w:rsid w:val="00632559"/>
    <w:rsid w:val="0063734B"/>
    <w:rsid w:val="00641701"/>
    <w:rsid w:val="00644DD6"/>
    <w:rsid w:val="006619AB"/>
    <w:rsid w:val="006777AA"/>
    <w:rsid w:val="00684C45"/>
    <w:rsid w:val="00684F14"/>
    <w:rsid w:val="006857BE"/>
    <w:rsid w:val="0068612B"/>
    <w:rsid w:val="0069093B"/>
    <w:rsid w:val="006A27F5"/>
    <w:rsid w:val="006C23BC"/>
    <w:rsid w:val="006C328C"/>
    <w:rsid w:val="006C3D43"/>
    <w:rsid w:val="006C5241"/>
    <w:rsid w:val="006C7259"/>
    <w:rsid w:val="006D093B"/>
    <w:rsid w:val="006D4143"/>
    <w:rsid w:val="006E375D"/>
    <w:rsid w:val="006F01E4"/>
    <w:rsid w:val="006F759A"/>
    <w:rsid w:val="00706665"/>
    <w:rsid w:val="0071678B"/>
    <w:rsid w:val="007168AC"/>
    <w:rsid w:val="007218AF"/>
    <w:rsid w:val="00722CCB"/>
    <w:rsid w:val="00727BFF"/>
    <w:rsid w:val="007303BF"/>
    <w:rsid w:val="00730533"/>
    <w:rsid w:val="0073737D"/>
    <w:rsid w:val="007402FD"/>
    <w:rsid w:val="00745A9D"/>
    <w:rsid w:val="007512B1"/>
    <w:rsid w:val="0075211B"/>
    <w:rsid w:val="00753E77"/>
    <w:rsid w:val="00754EA5"/>
    <w:rsid w:val="00756CAA"/>
    <w:rsid w:val="00776A04"/>
    <w:rsid w:val="00777656"/>
    <w:rsid w:val="00785C2C"/>
    <w:rsid w:val="00785D57"/>
    <w:rsid w:val="00791FAB"/>
    <w:rsid w:val="00792747"/>
    <w:rsid w:val="007B1F47"/>
    <w:rsid w:val="007C46CB"/>
    <w:rsid w:val="007C72AB"/>
    <w:rsid w:val="007F230F"/>
    <w:rsid w:val="007F2DE2"/>
    <w:rsid w:val="007F6909"/>
    <w:rsid w:val="00801F3A"/>
    <w:rsid w:val="00804297"/>
    <w:rsid w:val="00820D8C"/>
    <w:rsid w:val="00823008"/>
    <w:rsid w:val="0082560F"/>
    <w:rsid w:val="00826698"/>
    <w:rsid w:val="008308C5"/>
    <w:rsid w:val="00834DCB"/>
    <w:rsid w:val="008400D9"/>
    <w:rsid w:val="008458A4"/>
    <w:rsid w:val="00852C2C"/>
    <w:rsid w:val="00861581"/>
    <w:rsid w:val="008655F8"/>
    <w:rsid w:val="0087214D"/>
    <w:rsid w:val="00886D4D"/>
    <w:rsid w:val="00893198"/>
    <w:rsid w:val="008955D4"/>
    <w:rsid w:val="008978F3"/>
    <w:rsid w:val="008A08DD"/>
    <w:rsid w:val="008A1532"/>
    <w:rsid w:val="008A41DC"/>
    <w:rsid w:val="008B30C2"/>
    <w:rsid w:val="008B6A36"/>
    <w:rsid w:val="008C01CF"/>
    <w:rsid w:val="008E4A10"/>
    <w:rsid w:val="008E73B8"/>
    <w:rsid w:val="008E74B9"/>
    <w:rsid w:val="008F3998"/>
    <w:rsid w:val="008F52C3"/>
    <w:rsid w:val="00901909"/>
    <w:rsid w:val="00906B96"/>
    <w:rsid w:val="0090772E"/>
    <w:rsid w:val="00914B8E"/>
    <w:rsid w:val="00914E96"/>
    <w:rsid w:val="00924443"/>
    <w:rsid w:val="0092743E"/>
    <w:rsid w:val="00927B3B"/>
    <w:rsid w:val="0093097E"/>
    <w:rsid w:val="0093115D"/>
    <w:rsid w:val="00937CFF"/>
    <w:rsid w:val="00947917"/>
    <w:rsid w:val="00953FDC"/>
    <w:rsid w:val="009577FA"/>
    <w:rsid w:val="00971EA1"/>
    <w:rsid w:val="00973940"/>
    <w:rsid w:val="00976085"/>
    <w:rsid w:val="00986136"/>
    <w:rsid w:val="009A04F8"/>
    <w:rsid w:val="009A1F59"/>
    <w:rsid w:val="009A21A4"/>
    <w:rsid w:val="009A4417"/>
    <w:rsid w:val="009A7791"/>
    <w:rsid w:val="009B5C5D"/>
    <w:rsid w:val="009C2147"/>
    <w:rsid w:val="009C7B95"/>
    <w:rsid w:val="009D2D86"/>
    <w:rsid w:val="009D46B8"/>
    <w:rsid w:val="009F1F45"/>
    <w:rsid w:val="009F6075"/>
    <w:rsid w:val="009F7CA2"/>
    <w:rsid w:val="00A03AD5"/>
    <w:rsid w:val="00A1318D"/>
    <w:rsid w:val="00A22A43"/>
    <w:rsid w:val="00A231B2"/>
    <w:rsid w:val="00A26158"/>
    <w:rsid w:val="00A275C2"/>
    <w:rsid w:val="00A55EEE"/>
    <w:rsid w:val="00A57765"/>
    <w:rsid w:val="00A601A2"/>
    <w:rsid w:val="00A667A1"/>
    <w:rsid w:val="00A7169C"/>
    <w:rsid w:val="00A71F46"/>
    <w:rsid w:val="00A747BB"/>
    <w:rsid w:val="00A74887"/>
    <w:rsid w:val="00A77A11"/>
    <w:rsid w:val="00A819CF"/>
    <w:rsid w:val="00A870DF"/>
    <w:rsid w:val="00A922D9"/>
    <w:rsid w:val="00A930D0"/>
    <w:rsid w:val="00AA064D"/>
    <w:rsid w:val="00AC2CCD"/>
    <w:rsid w:val="00AC3486"/>
    <w:rsid w:val="00AC4E75"/>
    <w:rsid w:val="00AC7A77"/>
    <w:rsid w:val="00AD4400"/>
    <w:rsid w:val="00AD6079"/>
    <w:rsid w:val="00AE404E"/>
    <w:rsid w:val="00AF0FEA"/>
    <w:rsid w:val="00AF59AC"/>
    <w:rsid w:val="00B17776"/>
    <w:rsid w:val="00B20E69"/>
    <w:rsid w:val="00B22BE9"/>
    <w:rsid w:val="00B32454"/>
    <w:rsid w:val="00B32D7B"/>
    <w:rsid w:val="00B345F0"/>
    <w:rsid w:val="00B3771F"/>
    <w:rsid w:val="00B40411"/>
    <w:rsid w:val="00B50C5E"/>
    <w:rsid w:val="00B640A0"/>
    <w:rsid w:val="00B72C44"/>
    <w:rsid w:val="00B81BBF"/>
    <w:rsid w:val="00B877E7"/>
    <w:rsid w:val="00BA4229"/>
    <w:rsid w:val="00BA4F72"/>
    <w:rsid w:val="00BA7F46"/>
    <w:rsid w:val="00BC3882"/>
    <w:rsid w:val="00BC3BA6"/>
    <w:rsid w:val="00BD2CB8"/>
    <w:rsid w:val="00BD7B74"/>
    <w:rsid w:val="00BE7B8C"/>
    <w:rsid w:val="00BF1F99"/>
    <w:rsid w:val="00BF2735"/>
    <w:rsid w:val="00BF4CAB"/>
    <w:rsid w:val="00BF5A17"/>
    <w:rsid w:val="00C001B2"/>
    <w:rsid w:val="00C07C60"/>
    <w:rsid w:val="00C200BF"/>
    <w:rsid w:val="00C22E1C"/>
    <w:rsid w:val="00C448DD"/>
    <w:rsid w:val="00C53F09"/>
    <w:rsid w:val="00C546A7"/>
    <w:rsid w:val="00C55CC6"/>
    <w:rsid w:val="00C67992"/>
    <w:rsid w:val="00C76B46"/>
    <w:rsid w:val="00C81F37"/>
    <w:rsid w:val="00C840DC"/>
    <w:rsid w:val="00C84DDA"/>
    <w:rsid w:val="00CA26E4"/>
    <w:rsid w:val="00CB01D8"/>
    <w:rsid w:val="00CD2A60"/>
    <w:rsid w:val="00CD480F"/>
    <w:rsid w:val="00CD548C"/>
    <w:rsid w:val="00CE036F"/>
    <w:rsid w:val="00CE08B0"/>
    <w:rsid w:val="00CE1571"/>
    <w:rsid w:val="00CF2699"/>
    <w:rsid w:val="00CF3E4E"/>
    <w:rsid w:val="00D011E6"/>
    <w:rsid w:val="00D053BF"/>
    <w:rsid w:val="00D12055"/>
    <w:rsid w:val="00D13527"/>
    <w:rsid w:val="00D21828"/>
    <w:rsid w:val="00D24EB8"/>
    <w:rsid w:val="00D30392"/>
    <w:rsid w:val="00D63115"/>
    <w:rsid w:val="00D71B85"/>
    <w:rsid w:val="00D86CC0"/>
    <w:rsid w:val="00D911D8"/>
    <w:rsid w:val="00D951D2"/>
    <w:rsid w:val="00DA2BA0"/>
    <w:rsid w:val="00DA653A"/>
    <w:rsid w:val="00DA77EA"/>
    <w:rsid w:val="00DB103D"/>
    <w:rsid w:val="00DB179E"/>
    <w:rsid w:val="00DB41CF"/>
    <w:rsid w:val="00DB52AF"/>
    <w:rsid w:val="00DD483F"/>
    <w:rsid w:val="00DE16EF"/>
    <w:rsid w:val="00E03703"/>
    <w:rsid w:val="00E0446D"/>
    <w:rsid w:val="00E1703C"/>
    <w:rsid w:val="00E20AA4"/>
    <w:rsid w:val="00E21A22"/>
    <w:rsid w:val="00E4236D"/>
    <w:rsid w:val="00E540BF"/>
    <w:rsid w:val="00E65D21"/>
    <w:rsid w:val="00E74C1E"/>
    <w:rsid w:val="00E83A25"/>
    <w:rsid w:val="00E92F61"/>
    <w:rsid w:val="00E95021"/>
    <w:rsid w:val="00EA17B7"/>
    <w:rsid w:val="00EB0F2A"/>
    <w:rsid w:val="00EC78D4"/>
    <w:rsid w:val="00ED0B90"/>
    <w:rsid w:val="00ED7AC5"/>
    <w:rsid w:val="00EE1F5D"/>
    <w:rsid w:val="00EE2A57"/>
    <w:rsid w:val="00EE6039"/>
    <w:rsid w:val="00F00540"/>
    <w:rsid w:val="00F104D2"/>
    <w:rsid w:val="00F1198B"/>
    <w:rsid w:val="00F1378F"/>
    <w:rsid w:val="00F308D2"/>
    <w:rsid w:val="00F42C1C"/>
    <w:rsid w:val="00F474AF"/>
    <w:rsid w:val="00F51FD8"/>
    <w:rsid w:val="00F56BBA"/>
    <w:rsid w:val="00F57AE9"/>
    <w:rsid w:val="00F61BD1"/>
    <w:rsid w:val="00F66F9C"/>
    <w:rsid w:val="00F73FF4"/>
    <w:rsid w:val="00F82FD3"/>
    <w:rsid w:val="00F90BEC"/>
    <w:rsid w:val="00F9224F"/>
    <w:rsid w:val="00F946E7"/>
    <w:rsid w:val="00F96218"/>
    <w:rsid w:val="00FB04EE"/>
    <w:rsid w:val="00FC09A9"/>
    <w:rsid w:val="00FD240F"/>
    <w:rsid w:val="00FE18DF"/>
    <w:rsid w:val="00FE2074"/>
    <w:rsid w:val="00FE36A6"/>
    <w:rsid w:val="00FF0CCD"/>
    <w:rsid w:val="00FF19DC"/>
    <w:rsid w:val="00FF5C91"/>
    <w:rsid w:val="00FF6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A165F"/>
  <w15:chartTrackingRefBased/>
  <w15:docId w15:val="{ACFCE485-8313-4EEC-B2DC-693D77B5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B1B98"/>
    <w:pPr>
      <w:spacing w:after="0" w:line="240" w:lineRule="auto"/>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B1B98"/>
    <w:rPr>
      <w:rFonts w:ascii="Times New Roman" w:hAnsi="Times New Roman" w:cs="Times New Roman" w:hint="default"/>
      <w:color w:val="0000FF"/>
      <w:u w:val="single"/>
    </w:rPr>
  </w:style>
  <w:style w:type="character" w:customStyle="1" w:styleId="a4">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5"/>
    <w:locked/>
    <w:rsid w:val="000B1B98"/>
    <w:rPr>
      <w:rFonts w:ascii="Times" w:hAnsi="Times" w:cs="Times"/>
      <w:spacing w:val="8"/>
      <w:sz w:val="28"/>
      <w:lang w:val="uk-UA" w:eastAsia="ru-RU"/>
    </w:rPr>
  </w:style>
  <w:style w:type="paragraph" w:styleId="a5">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4"/>
    <w:uiPriority w:val="99"/>
    <w:unhideWhenUsed/>
    <w:qFormat/>
    <w:rsid w:val="000B1B98"/>
    <w:pPr>
      <w:ind w:left="720"/>
      <w:contextualSpacing/>
    </w:pPr>
    <w:rPr>
      <w:rFonts w:ascii="Times" w:eastAsiaTheme="minorHAnsi" w:hAnsi="Times" w:cs="Times"/>
      <w:spacing w:val="8"/>
      <w:szCs w:val="22"/>
    </w:rPr>
  </w:style>
  <w:style w:type="table" w:styleId="a6">
    <w:name w:val="Table Grid"/>
    <w:basedOn w:val="a1"/>
    <w:rsid w:val="000B1B98"/>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13527"/>
    <w:pPr>
      <w:ind w:left="720"/>
      <w:contextualSpacing/>
    </w:pPr>
  </w:style>
  <w:style w:type="paragraph" w:styleId="a8">
    <w:name w:val="No Spacing"/>
    <w:uiPriority w:val="1"/>
    <w:qFormat/>
    <w:rsid w:val="00284777"/>
    <w:pPr>
      <w:spacing w:after="0" w:line="240" w:lineRule="auto"/>
    </w:pPr>
    <w:rPr>
      <w:lang w:val="en-US"/>
    </w:rPr>
  </w:style>
  <w:style w:type="paragraph" w:styleId="a9">
    <w:name w:val="Balloon Text"/>
    <w:basedOn w:val="a"/>
    <w:link w:val="aa"/>
    <w:uiPriority w:val="99"/>
    <w:semiHidden/>
    <w:unhideWhenUsed/>
    <w:rsid w:val="002F3823"/>
    <w:rPr>
      <w:rFonts w:ascii="Segoe UI" w:hAnsi="Segoe UI" w:cs="Segoe UI"/>
      <w:sz w:val="18"/>
      <w:szCs w:val="18"/>
    </w:rPr>
  </w:style>
  <w:style w:type="character" w:customStyle="1" w:styleId="aa">
    <w:name w:val="Текст у виносці Знак"/>
    <w:basedOn w:val="a0"/>
    <w:link w:val="a9"/>
    <w:uiPriority w:val="99"/>
    <w:semiHidden/>
    <w:rsid w:val="002F3823"/>
    <w:rPr>
      <w:rFonts w:ascii="Segoe UI" w:eastAsia="Times New Roman" w:hAnsi="Segoe UI" w:cs="Segoe UI"/>
      <w:sz w:val="18"/>
      <w:szCs w:val="18"/>
      <w:lang w:val="uk-UA" w:eastAsia="ru-RU"/>
    </w:rPr>
  </w:style>
  <w:style w:type="character" w:customStyle="1" w:styleId="apple-style-span">
    <w:name w:val="apple-style-span"/>
    <w:rsid w:val="00ED0B90"/>
  </w:style>
  <w:style w:type="paragraph" w:customStyle="1" w:styleId="ab">
    <w:name w:val="Нормальний текст"/>
    <w:basedOn w:val="a"/>
    <w:uiPriority w:val="99"/>
    <w:qFormat/>
    <w:rsid w:val="00ED0B90"/>
    <w:pPr>
      <w:spacing w:before="120"/>
      <w:ind w:firstLine="567"/>
    </w:pPr>
    <w:rPr>
      <w:sz w:val="24"/>
    </w:rPr>
  </w:style>
  <w:style w:type="character" w:customStyle="1" w:styleId="spelle">
    <w:name w:val="spelle"/>
    <w:rsid w:val="00BA4229"/>
  </w:style>
  <w:style w:type="paragraph" w:styleId="ac">
    <w:name w:val="Body Text Indent"/>
    <w:basedOn w:val="a"/>
    <w:link w:val="ad"/>
    <w:rsid w:val="00D24EB8"/>
    <w:pPr>
      <w:ind w:firstLine="851"/>
    </w:pPr>
    <w:rPr>
      <w:szCs w:val="20"/>
      <w:lang w:eastAsia="x-none"/>
    </w:rPr>
  </w:style>
  <w:style w:type="character" w:customStyle="1" w:styleId="ad">
    <w:name w:val="Основний текст з відступом Знак"/>
    <w:basedOn w:val="a0"/>
    <w:link w:val="ac"/>
    <w:rsid w:val="00D24EB8"/>
    <w:rPr>
      <w:rFonts w:ascii="Times New Roman" w:eastAsia="Times New Roman" w:hAnsi="Times New Roman" w:cs="Times New Roman"/>
      <w:sz w:val="28"/>
      <w:szCs w:val="20"/>
      <w:lang w:val="uk-UA" w:eastAsia="x-none"/>
    </w:rPr>
  </w:style>
  <w:style w:type="paragraph" w:styleId="ae">
    <w:name w:val="header"/>
    <w:basedOn w:val="a"/>
    <w:link w:val="af"/>
    <w:uiPriority w:val="99"/>
    <w:unhideWhenUsed/>
    <w:rsid w:val="008F52C3"/>
    <w:pPr>
      <w:tabs>
        <w:tab w:val="center" w:pos="4677"/>
        <w:tab w:val="right" w:pos="9355"/>
      </w:tabs>
    </w:pPr>
  </w:style>
  <w:style w:type="character" w:customStyle="1" w:styleId="af">
    <w:name w:val="Верхній колонтитул Знак"/>
    <w:basedOn w:val="a0"/>
    <w:link w:val="ae"/>
    <w:uiPriority w:val="99"/>
    <w:rsid w:val="008F52C3"/>
    <w:rPr>
      <w:rFonts w:ascii="Times New Roman" w:eastAsia="Times New Roman" w:hAnsi="Times New Roman" w:cs="Times New Roman"/>
      <w:sz w:val="28"/>
      <w:szCs w:val="24"/>
      <w:lang w:val="uk-UA" w:eastAsia="ru-RU"/>
    </w:rPr>
  </w:style>
  <w:style w:type="paragraph" w:styleId="af0">
    <w:name w:val="footer"/>
    <w:basedOn w:val="a"/>
    <w:link w:val="af1"/>
    <w:uiPriority w:val="99"/>
    <w:unhideWhenUsed/>
    <w:rsid w:val="008F52C3"/>
    <w:pPr>
      <w:tabs>
        <w:tab w:val="center" w:pos="4677"/>
        <w:tab w:val="right" w:pos="9355"/>
      </w:tabs>
    </w:pPr>
  </w:style>
  <w:style w:type="character" w:customStyle="1" w:styleId="af1">
    <w:name w:val="Нижній колонтитул Знак"/>
    <w:basedOn w:val="a0"/>
    <w:link w:val="af0"/>
    <w:uiPriority w:val="99"/>
    <w:rsid w:val="008F52C3"/>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44069">
      <w:bodyDiv w:val="1"/>
      <w:marLeft w:val="0"/>
      <w:marRight w:val="0"/>
      <w:marTop w:val="0"/>
      <w:marBottom w:val="0"/>
      <w:divBdr>
        <w:top w:val="none" w:sz="0" w:space="0" w:color="auto"/>
        <w:left w:val="none" w:sz="0" w:space="0" w:color="auto"/>
        <w:bottom w:val="none" w:sz="0" w:space="0" w:color="auto"/>
        <w:right w:val="none" w:sz="0" w:space="0" w:color="auto"/>
      </w:divBdr>
    </w:div>
    <w:div w:id="125243825">
      <w:bodyDiv w:val="1"/>
      <w:marLeft w:val="0"/>
      <w:marRight w:val="0"/>
      <w:marTop w:val="0"/>
      <w:marBottom w:val="0"/>
      <w:divBdr>
        <w:top w:val="none" w:sz="0" w:space="0" w:color="auto"/>
        <w:left w:val="none" w:sz="0" w:space="0" w:color="auto"/>
        <w:bottom w:val="none" w:sz="0" w:space="0" w:color="auto"/>
        <w:right w:val="none" w:sz="0" w:space="0" w:color="auto"/>
      </w:divBdr>
    </w:div>
    <w:div w:id="173691621">
      <w:bodyDiv w:val="1"/>
      <w:marLeft w:val="0"/>
      <w:marRight w:val="0"/>
      <w:marTop w:val="0"/>
      <w:marBottom w:val="0"/>
      <w:divBdr>
        <w:top w:val="none" w:sz="0" w:space="0" w:color="auto"/>
        <w:left w:val="none" w:sz="0" w:space="0" w:color="auto"/>
        <w:bottom w:val="none" w:sz="0" w:space="0" w:color="auto"/>
        <w:right w:val="none" w:sz="0" w:space="0" w:color="auto"/>
      </w:divBdr>
    </w:div>
    <w:div w:id="229535831">
      <w:bodyDiv w:val="1"/>
      <w:marLeft w:val="0"/>
      <w:marRight w:val="0"/>
      <w:marTop w:val="0"/>
      <w:marBottom w:val="0"/>
      <w:divBdr>
        <w:top w:val="none" w:sz="0" w:space="0" w:color="auto"/>
        <w:left w:val="none" w:sz="0" w:space="0" w:color="auto"/>
        <w:bottom w:val="none" w:sz="0" w:space="0" w:color="auto"/>
        <w:right w:val="none" w:sz="0" w:space="0" w:color="auto"/>
      </w:divBdr>
    </w:div>
    <w:div w:id="239675138">
      <w:bodyDiv w:val="1"/>
      <w:marLeft w:val="0"/>
      <w:marRight w:val="0"/>
      <w:marTop w:val="0"/>
      <w:marBottom w:val="0"/>
      <w:divBdr>
        <w:top w:val="none" w:sz="0" w:space="0" w:color="auto"/>
        <w:left w:val="none" w:sz="0" w:space="0" w:color="auto"/>
        <w:bottom w:val="none" w:sz="0" w:space="0" w:color="auto"/>
        <w:right w:val="none" w:sz="0" w:space="0" w:color="auto"/>
      </w:divBdr>
    </w:div>
    <w:div w:id="317539491">
      <w:bodyDiv w:val="1"/>
      <w:marLeft w:val="0"/>
      <w:marRight w:val="0"/>
      <w:marTop w:val="0"/>
      <w:marBottom w:val="0"/>
      <w:divBdr>
        <w:top w:val="none" w:sz="0" w:space="0" w:color="auto"/>
        <w:left w:val="none" w:sz="0" w:space="0" w:color="auto"/>
        <w:bottom w:val="none" w:sz="0" w:space="0" w:color="auto"/>
        <w:right w:val="none" w:sz="0" w:space="0" w:color="auto"/>
      </w:divBdr>
    </w:div>
    <w:div w:id="410471948">
      <w:bodyDiv w:val="1"/>
      <w:marLeft w:val="0"/>
      <w:marRight w:val="0"/>
      <w:marTop w:val="0"/>
      <w:marBottom w:val="0"/>
      <w:divBdr>
        <w:top w:val="none" w:sz="0" w:space="0" w:color="auto"/>
        <w:left w:val="none" w:sz="0" w:space="0" w:color="auto"/>
        <w:bottom w:val="none" w:sz="0" w:space="0" w:color="auto"/>
        <w:right w:val="none" w:sz="0" w:space="0" w:color="auto"/>
      </w:divBdr>
    </w:div>
    <w:div w:id="644894432">
      <w:bodyDiv w:val="1"/>
      <w:marLeft w:val="0"/>
      <w:marRight w:val="0"/>
      <w:marTop w:val="0"/>
      <w:marBottom w:val="0"/>
      <w:divBdr>
        <w:top w:val="none" w:sz="0" w:space="0" w:color="auto"/>
        <w:left w:val="none" w:sz="0" w:space="0" w:color="auto"/>
        <w:bottom w:val="none" w:sz="0" w:space="0" w:color="auto"/>
        <w:right w:val="none" w:sz="0" w:space="0" w:color="auto"/>
      </w:divBdr>
    </w:div>
    <w:div w:id="721439320">
      <w:bodyDiv w:val="1"/>
      <w:marLeft w:val="0"/>
      <w:marRight w:val="0"/>
      <w:marTop w:val="0"/>
      <w:marBottom w:val="0"/>
      <w:divBdr>
        <w:top w:val="none" w:sz="0" w:space="0" w:color="auto"/>
        <w:left w:val="none" w:sz="0" w:space="0" w:color="auto"/>
        <w:bottom w:val="none" w:sz="0" w:space="0" w:color="auto"/>
        <w:right w:val="none" w:sz="0" w:space="0" w:color="auto"/>
      </w:divBdr>
    </w:div>
    <w:div w:id="735931918">
      <w:bodyDiv w:val="1"/>
      <w:marLeft w:val="0"/>
      <w:marRight w:val="0"/>
      <w:marTop w:val="0"/>
      <w:marBottom w:val="0"/>
      <w:divBdr>
        <w:top w:val="none" w:sz="0" w:space="0" w:color="auto"/>
        <w:left w:val="none" w:sz="0" w:space="0" w:color="auto"/>
        <w:bottom w:val="none" w:sz="0" w:space="0" w:color="auto"/>
        <w:right w:val="none" w:sz="0" w:space="0" w:color="auto"/>
      </w:divBdr>
    </w:div>
    <w:div w:id="742261056">
      <w:bodyDiv w:val="1"/>
      <w:marLeft w:val="0"/>
      <w:marRight w:val="0"/>
      <w:marTop w:val="0"/>
      <w:marBottom w:val="0"/>
      <w:divBdr>
        <w:top w:val="none" w:sz="0" w:space="0" w:color="auto"/>
        <w:left w:val="none" w:sz="0" w:space="0" w:color="auto"/>
        <w:bottom w:val="none" w:sz="0" w:space="0" w:color="auto"/>
        <w:right w:val="none" w:sz="0" w:space="0" w:color="auto"/>
      </w:divBdr>
    </w:div>
    <w:div w:id="972715028">
      <w:bodyDiv w:val="1"/>
      <w:marLeft w:val="0"/>
      <w:marRight w:val="0"/>
      <w:marTop w:val="0"/>
      <w:marBottom w:val="0"/>
      <w:divBdr>
        <w:top w:val="none" w:sz="0" w:space="0" w:color="auto"/>
        <w:left w:val="none" w:sz="0" w:space="0" w:color="auto"/>
        <w:bottom w:val="none" w:sz="0" w:space="0" w:color="auto"/>
        <w:right w:val="none" w:sz="0" w:space="0" w:color="auto"/>
      </w:divBdr>
    </w:div>
    <w:div w:id="1018776263">
      <w:bodyDiv w:val="1"/>
      <w:marLeft w:val="0"/>
      <w:marRight w:val="0"/>
      <w:marTop w:val="0"/>
      <w:marBottom w:val="0"/>
      <w:divBdr>
        <w:top w:val="none" w:sz="0" w:space="0" w:color="auto"/>
        <w:left w:val="none" w:sz="0" w:space="0" w:color="auto"/>
        <w:bottom w:val="none" w:sz="0" w:space="0" w:color="auto"/>
        <w:right w:val="none" w:sz="0" w:space="0" w:color="auto"/>
      </w:divBdr>
    </w:div>
    <w:div w:id="1024864848">
      <w:bodyDiv w:val="1"/>
      <w:marLeft w:val="0"/>
      <w:marRight w:val="0"/>
      <w:marTop w:val="0"/>
      <w:marBottom w:val="0"/>
      <w:divBdr>
        <w:top w:val="none" w:sz="0" w:space="0" w:color="auto"/>
        <w:left w:val="none" w:sz="0" w:space="0" w:color="auto"/>
        <w:bottom w:val="none" w:sz="0" w:space="0" w:color="auto"/>
        <w:right w:val="none" w:sz="0" w:space="0" w:color="auto"/>
      </w:divBdr>
    </w:div>
    <w:div w:id="1060984020">
      <w:bodyDiv w:val="1"/>
      <w:marLeft w:val="0"/>
      <w:marRight w:val="0"/>
      <w:marTop w:val="0"/>
      <w:marBottom w:val="0"/>
      <w:divBdr>
        <w:top w:val="none" w:sz="0" w:space="0" w:color="auto"/>
        <w:left w:val="none" w:sz="0" w:space="0" w:color="auto"/>
        <w:bottom w:val="none" w:sz="0" w:space="0" w:color="auto"/>
        <w:right w:val="none" w:sz="0" w:space="0" w:color="auto"/>
      </w:divBdr>
    </w:div>
    <w:div w:id="1216505013">
      <w:bodyDiv w:val="1"/>
      <w:marLeft w:val="0"/>
      <w:marRight w:val="0"/>
      <w:marTop w:val="0"/>
      <w:marBottom w:val="0"/>
      <w:divBdr>
        <w:top w:val="none" w:sz="0" w:space="0" w:color="auto"/>
        <w:left w:val="none" w:sz="0" w:space="0" w:color="auto"/>
        <w:bottom w:val="none" w:sz="0" w:space="0" w:color="auto"/>
        <w:right w:val="none" w:sz="0" w:space="0" w:color="auto"/>
      </w:divBdr>
    </w:div>
    <w:div w:id="1249582169">
      <w:bodyDiv w:val="1"/>
      <w:marLeft w:val="0"/>
      <w:marRight w:val="0"/>
      <w:marTop w:val="0"/>
      <w:marBottom w:val="0"/>
      <w:divBdr>
        <w:top w:val="none" w:sz="0" w:space="0" w:color="auto"/>
        <w:left w:val="none" w:sz="0" w:space="0" w:color="auto"/>
        <w:bottom w:val="none" w:sz="0" w:space="0" w:color="auto"/>
        <w:right w:val="none" w:sz="0" w:space="0" w:color="auto"/>
      </w:divBdr>
    </w:div>
    <w:div w:id="1269267747">
      <w:bodyDiv w:val="1"/>
      <w:marLeft w:val="0"/>
      <w:marRight w:val="0"/>
      <w:marTop w:val="0"/>
      <w:marBottom w:val="0"/>
      <w:divBdr>
        <w:top w:val="none" w:sz="0" w:space="0" w:color="auto"/>
        <w:left w:val="none" w:sz="0" w:space="0" w:color="auto"/>
        <w:bottom w:val="none" w:sz="0" w:space="0" w:color="auto"/>
        <w:right w:val="none" w:sz="0" w:space="0" w:color="auto"/>
      </w:divBdr>
    </w:div>
    <w:div w:id="1325205019">
      <w:bodyDiv w:val="1"/>
      <w:marLeft w:val="0"/>
      <w:marRight w:val="0"/>
      <w:marTop w:val="0"/>
      <w:marBottom w:val="0"/>
      <w:divBdr>
        <w:top w:val="none" w:sz="0" w:space="0" w:color="auto"/>
        <w:left w:val="none" w:sz="0" w:space="0" w:color="auto"/>
        <w:bottom w:val="none" w:sz="0" w:space="0" w:color="auto"/>
        <w:right w:val="none" w:sz="0" w:space="0" w:color="auto"/>
      </w:divBdr>
    </w:div>
    <w:div w:id="1345980534">
      <w:bodyDiv w:val="1"/>
      <w:marLeft w:val="0"/>
      <w:marRight w:val="0"/>
      <w:marTop w:val="0"/>
      <w:marBottom w:val="0"/>
      <w:divBdr>
        <w:top w:val="none" w:sz="0" w:space="0" w:color="auto"/>
        <w:left w:val="none" w:sz="0" w:space="0" w:color="auto"/>
        <w:bottom w:val="none" w:sz="0" w:space="0" w:color="auto"/>
        <w:right w:val="none" w:sz="0" w:space="0" w:color="auto"/>
      </w:divBdr>
    </w:div>
    <w:div w:id="1645622530">
      <w:bodyDiv w:val="1"/>
      <w:marLeft w:val="0"/>
      <w:marRight w:val="0"/>
      <w:marTop w:val="0"/>
      <w:marBottom w:val="0"/>
      <w:divBdr>
        <w:top w:val="none" w:sz="0" w:space="0" w:color="auto"/>
        <w:left w:val="none" w:sz="0" w:space="0" w:color="auto"/>
        <w:bottom w:val="none" w:sz="0" w:space="0" w:color="auto"/>
        <w:right w:val="none" w:sz="0" w:space="0" w:color="auto"/>
      </w:divBdr>
    </w:div>
    <w:div w:id="1815566837">
      <w:bodyDiv w:val="1"/>
      <w:marLeft w:val="0"/>
      <w:marRight w:val="0"/>
      <w:marTop w:val="0"/>
      <w:marBottom w:val="0"/>
      <w:divBdr>
        <w:top w:val="none" w:sz="0" w:space="0" w:color="auto"/>
        <w:left w:val="none" w:sz="0" w:space="0" w:color="auto"/>
        <w:bottom w:val="none" w:sz="0" w:space="0" w:color="auto"/>
        <w:right w:val="none" w:sz="0" w:space="0" w:color="auto"/>
      </w:divBdr>
    </w:div>
    <w:div w:id="1872910746">
      <w:bodyDiv w:val="1"/>
      <w:marLeft w:val="0"/>
      <w:marRight w:val="0"/>
      <w:marTop w:val="0"/>
      <w:marBottom w:val="0"/>
      <w:divBdr>
        <w:top w:val="none" w:sz="0" w:space="0" w:color="auto"/>
        <w:left w:val="none" w:sz="0" w:space="0" w:color="auto"/>
        <w:bottom w:val="none" w:sz="0" w:space="0" w:color="auto"/>
        <w:right w:val="none" w:sz="0" w:space="0" w:color="auto"/>
      </w:divBdr>
    </w:div>
    <w:div w:id="1878621810">
      <w:bodyDiv w:val="1"/>
      <w:marLeft w:val="0"/>
      <w:marRight w:val="0"/>
      <w:marTop w:val="0"/>
      <w:marBottom w:val="0"/>
      <w:divBdr>
        <w:top w:val="none" w:sz="0" w:space="0" w:color="auto"/>
        <w:left w:val="none" w:sz="0" w:space="0" w:color="auto"/>
        <w:bottom w:val="none" w:sz="0" w:space="0" w:color="auto"/>
        <w:right w:val="none" w:sz="0" w:space="0" w:color="auto"/>
      </w:divBdr>
    </w:div>
    <w:div w:id="1891837412">
      <w:bodyDiv w:val="1"/>
      <w:marLeft w:val="0"/>
      <w:marRight w:val="0"/>
      <w:marTop w:val="0"/>
      <w:marBottom w:val="0"/>
      <w:divBdr>
        <w:top w:val="none" w:sz="0" w:space="0" w:color="auto"/>
        <w:left w:val="none" w:sz="0" w:space="0" w:color="auto"/>
        <w:bottom w:val="none" w:sz="0" w:space="0" w:color="auto"/>
        <w:right w:val="none" w:sz="0" w:space="0" w:color="auto"/>
      </w:divBdr>
    </w:div>
    <w:div w:id="2011062066">
      <w:bodyDiv w:val="1"/>
      <w:marLeft w:val="0"/>
      <w:marRight w:val="0"/>
      <w:marTop w:val="0"/>
      <w:marBottom w:val="0"/>
      <w:divBdr>
        <w:top w:val="none" w:sz="0" w:space="0" w:color="auto"/>
        <w:left w:val="none" w:sz="0" w:space="0" w:color="auto"/>
        <w:bottom w:val="none" w:sz="0" w:space="0" w:color="auto"/>
        <w:right w:val="none" w:sz="0" w:space="0" w:color="auto"/>
      </w:divBdr>
    </w:div>
    <w:div w:id="21012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http://www.buhoblik.org.ua/rizni/pku/stat-169.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400" dirty="0">
                <a:latin typeface="Times New Roman" panose="02020603050405020304" pitchFamily="18" charset="0"/>
                <a:cs typeface="Times New Roman" panose="02020603050405020304" pitchFamily="18" charset="0"/>
              </a:rPr>
              <a:t>видатки бюджету Тростянецької міської територіальної громади </a:t>
            </a:r>
          </a:p>
          <a:p>
            <a:pPr>
              <a:defRPr/>
            </a:pPr>
            <a:r>
              <a:rPr lang="uk-UA" sz="1400" cap="none" dirty="0">
                <a:latin typeface="Times New Roman" panose="02020603050405020304" pitchFamily="18" charset="0"/>
                <a:cs typeface="Times New Roman" panose="02020603050405020304" pitchFamily="18" charset="0"/>
              </a:rPr>
              <a:t>на 2026 рік з урахуванням трансфертів ( 397 518,6 </a:t>
            </a:r>
            <a:r>
              <a:rPr lang="uk-UA" sz="1400" cap="none" dirty="0" err="1">
                <a:latin typeface="Times New Roman" panose="02020603050405020304" pitchFamily="18" charset="0"/>
                <a:cs typeface="Times New Roman" panose="02020603050405020304" pitchFamily="18" charset="0"/>
              </a:rPr>
              <a:t>тис.грн</a:t>
            </a:r>
            <a:r>
              <a:rPr lang="uk-UA" sz="1400" cap="none" dirty="0">
                <a:latin typeface="Times New Roman" panose="02020603050405020304" pitchFamily="18" charset="0"/>
                <a:cs typeface="Times New Roman" panose="02020603050405020304" pitchFamily="18" charset="0"/>
              </a:rPr>
              <a:t>.) загальний та спеціальний фонд</a:t>
            </a:r>
          </a:p>
        </c:rich>
      </c:tx>
      <c:layout>
        <c:manualLayout>
          <c:xMode val="edge"/>
          <c:yMode val="edge"/>
          <c:x val="0.1304681273663239"/>
          <c:y val="4.6585738628190047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440657808398951"/>
          <c:y val="0.28771411265899455"/>
          <c:w val="0.74820465421019999"/>
          <c:h val="0.55709172426153619"/>
        </c:manualLayout>
      </c:layout>
      <c:pie3DChart>
        <c:varyColors val="1"/>
        <c:ser>
          <c:idx val="0"/>
          <c:order val="0"/>
          <c:explosion val="12"/>
          <c:dPt>
            <c:idx val="0"/>
            <c:bubble3D val="0"/>
            <c:explosion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0BA-4D69-A796-E56E4082BE61}"/>
              </c:ext>
            </c:extLst>
          </c:dPt>
          <c:dPt>
            <c:idx val="1"/>
            <c:bubble3D val="0"/>
            <c:explosion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0BA-4D69-A796-E56E4082BE61}"/>
              </c:ext>
            </c:extLst>
          </c:dPt>
          <c:dPt>
            <c:idx val="2"/>
            <c:bubble3D val="0"/>
            <c:explosion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0BA-4D69-A796-E56E4082BE61}"/>
              </c:ext>
            </c:extLst>
          </c:dPt>
          <c:dPt>
            <c:idx val="3"/>
            <c:bubble3D val="0"/>
            <c:explosion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0BA-4D69-A796-E56E4082BE61}"/>
              </c:ext>
            </c:extLst>
          </c:dPt>
          <c:dPt>
            <c:idx val="4"/>
            <c:bubble3D val="0"/>
            <c:explosion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0BA-4D69-A796-E56E4082BE61}"/>
              </c:ext>
            </c:extLst>
          </c:dPt>
          <c:dPt>
            <c:idx val="5"/>
            <c:bubble3D val="0"/>
            <c:explosion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A0BA-4D69-A796-E56E4082BE61}"/>
              </c:ext>
            </c:extLst>
          </c:dPt>
          <c:dPt>
            <c:idx val="6"/>
            <c:bubble3D val="0"/>
            <c:explosion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A0BA-4D69-A796-E56E4082BE61}"/>
              </c:ext>
            </c:extLst>
          </c:dPt>
          <c:dPt>
            <c:idx val="7"/>
            <c:bubble3D val="0"/>
            <c:explosion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A0BA-4D69-A796-E56E4082BE61}"/>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A0BA-4D69-A796-E56E4082BE61}"/>
              </c:ext>
            </c:extLst>
          </c:dPt>
          <c:dPt>
            <c:idx val="9"/>
            <c:bubble3D val="0"/>
            <c:explosion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A0BA-4D69-A796-E56E4082BE61}"/>
              </c:ext>
            </c:extLst>
          </c:dPt>
          <c:dPt>
            <c:idx val="10"/>
            <c:bubble3D val="0"/>
            <c:explosion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A0BA-4D69-A796-E56E4082BE61}"/>
              </c:ext>
            </c:extLst>
          </c:dPt>
          <c:dLbls>
            <c:dLbl>
              <c:idx val="0"/>
              <c:layout>
                <c:manualLayout>
                  <c:x val="3.5294881716180948E-2"/>
                  <c:y val="0.11487797308897334"/>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fld id="{3DB64BC0-7690-4D39-AF99-B4D9851E0819}" type="CELLRANGE">
                      <a:rPr lang="en-US" sz="850" baseline="0">
                        <a:solidFill>
                          <a:schemeClr val="tx1"/>
                        </a:solidFill>
                      </a:rPr>
                      <a:pPr>
                        <a:defRPr sz="850">
                          <a:solidFill>
                            <a:schemeClr val="tx1"/>
                          </a:solidFill>
                        </a:defRPr>
                      </a:pPr>
                      <a:t>[ДІАПАЗОН КЛІТИНОК]</a:t>
                    </a:fld>
                    <a:r>
                      <a:rPr lang="en-US" sz="850" baseline="0">
                        <a:solidFill>
                          <a:schemeClr val="tx1"/>
                        </a:solidFill>
                      </a:rPr>
                      <a:t>; </a:t>
                    </a:r>
                    <a:fld id="{878B09F1-C087-4FFA-B393-EA9C5239A6B2}" type="CATEGORYNAME">
                      <a:rPr lang="en-US" sz="850" baseline="0">
                        <a:solidFill>
                          <a:schemeClr val="tx1"/>
                        </a:solidFill>
                      </a:rPr>
                      <a:pPr>
                        <a:defRPr sz="850">
                          <a:solidFill>
                            <a:schemeClr val="tx1"/>
                          </a:solidFill>
                        </a:defRPr>
                      </a:pPr>
                      <a:t>[ІМ’Я КАТЕГОРІЇ]</a:t>
                    </a:fld>
                    <a:r>
                      <a:rPr lang="en-US" sz="850" baseline="0">
                        <a:solidFill>
                          <a:schemeClr val="tx1"/>
                        </a:solidFill>
                      </a:rPr>
                      <a:t>; </a:t>
                    </a:r>
                    <a:fld id="{39165ED6-C6AE-496E-97D7-00A2E0664983}" type="PERCENTAGE">
                      <a:rPr lang="en-US" sz="850" baseline="0">
                        <a:solidFill>
                          <a:schemeClr val="tx1"/>
                        </a:solidFill>
                      </a:rPr>
                      <a:pPr>
                        <a:defRPr sz="850">
                          <a:solidFill>
                            <a:schemeClr val="tx1"/>
                          </a:solidFill>
                        </a:defRPr>
                      </a:pPr>
                      <a:t>[ВІДСОТОК]</a:t>
                    </a:fld>
                    <a:endParaRPr lang="en-US" sz="850"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021578469110381"/>
                      <c:h val="4.9770266274149162E-2"/>
                    </c:manualLayout>
                  </c15:layout>
                  <c15:dlblFieldTable/>
                  <c15:showDataLabelsRange val="1"/>
                </c:ext>
                <c:ext xmlns:c16="http://schemas.microsoft.com/office/drawing/2014/chart" uri="{C3380CC4-5D6E-409C-BE32-E72D297353CC}">
                  <c16:uniqueId val="{00000001-A0BA-4D69-A796-E56E4082BE61}"/>
                </c:ext>
              </c:extLst>
            </c:dLbl>
            <c:dLbl>
              <c:idx val="1"/>
              <c:layout>
                <c:manualLayout>
                  <c:x val="0.27777777777777779"/>
                  <c:y val="1.538461538461529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fld id="{0C6FF978-7EDB-4305-8270-8DF905ECFE8C}"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7AD03E69-BB41-4DD4-BF4A-79594F7B5C32}"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3CC9A16A-720D-4CAE-AEA6-3FBCC4339F21}"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3-A0BA-4D69-A796-E56E4082BE61}"/>
                </c:ext>
              </c:extLst>
            </c:dLbl>
            <c:dLbl>
              <c:idx val="2"/>
              <c:layout>
                <c:manualLayout>
                  <c:x val="0.17708333333333334"/>
                  <c:y val="0.12307692307692299"/>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fld id="{8135750F-3ED4-4DB1-81A2-20B5AB85673B}"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AF8B5115-3FF0-4835-9EE6-89463A62B053}"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641ED257-28CD-4F23-B4C6-5A6B80FAE578}"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5-A0BA-4D69-A796-E56E4082BE61}"/>
                </c:ext>
              </c:extLst>
            </c:dLbl>
            <c:dLbl>
              <c:idx val="3"/>
              <c:layout>
                <c:manualLayout>
                  <c:x val="-5.9567065835520556E-3"/>
                  <c:y val="0.10168198160120641"/>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fld id="{AEBF3DAE-7B3A-48F8-AF96-00585BE6D940}"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4C47D0C8-E47A-4EC0-85DF-CEB5DC64CF51}"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DE1FDCFA-273D-4D01-AC81-B10EDF31BBAD}"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7-A0BA-4D69-A796-E56E4082BE61}"/>
                </c:ext>
              </c:extLst>
            </c:dLbl>
            <c:dLbl>
              <c:idx val="4"/>
              <c:layout>
                <c:manualLayout>
                  <c:x val="-6.9902120946632992E-2"/>
                  <c:y val="0.15970883177239489"/>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fld id="{748BA8A9-F256-4555-B9AB-5910C2AB57B9}"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5CA02F43-A926-405E-B6BD-FDFC19A3A450}"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41839BC6-0B14-4AEF-9E07-0D755D5E26CD}"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7559659588006044"/>
                      <c:h val="7.2962050569014766E-2"/>
                    </c:manualLayout>
                  </c15:layout>
                  <c15:dlblFieldTable/>
                  <c15:showDataLabelsRange val="1"/>
                </c:ext>
                <c:ext xmlns:c16="http://schemas.microsoft.com/office/drawing/2014/chart" uri="{C3380CC4-5D6E-409C-BE32-E72D297353CC}">
                  <c16:uniqueId val="{00000009-A0BA-4D69-A796-E56E4082BE61}"/>
                </c:ext>
              </c:extLst>
            </c:dLbl>
            <c:dLbl>
              <c:idx val="5"/>
              <c:layout>
                <c:manualLayout>
                  <c:x val="-0.11998213675492662"/>
                  <c:y val="8.3685147876922203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fld id="{FCA25796-F951-47E7-B440-DC6DFF6EADAE}"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A67468B7-5D73-4C71-AEEB-0FB8B9C12AAB}"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5F26B41A-495F-4C47-BF2D-8259B1D49647}"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568815616797896"/>
                      <c:h val="7.8729254996971518E-2"/>
                    </c:manualLayout>
                  </c15:layout>
                  <c15:dlblFieldTable/>
                  <c15:showDataLabelsRange val="1"/>
                </c:ext>
                <c:ext xmlns:c16="http://schemas.microsoft.com/office/drawing/2014/chart" uri="{C3380CC4-5D6E-409C-BE32-E72D297353CC}">
                  <c16:uniqueId val="{0000000B-A0BA-4D69-A796-E56E4082BE61}"/>
                </c:ext>
              </c:extLst>
            </c:dLbl>
            <c:dLbl>
              <c:idx val="6"/>
              <c:layout>
                <c:manualLayout>
                  <c:x val="-8.1318842371767314E-2"/>
                  <c:y val="1.3880110841604362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fld id="{26D93CA9-DF46-4CB1-AB33-091B64A9A488}"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98CE7F54-4241-4F61-A035-BF41DDE5C542}"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F11600E5-69C3-4520-BBA3-89321F3DCD06}"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5996770858188173"/>
                      <c:h val="8.0765537705099713E-2"/>
                    </c:manualLayout>
                  </c15:layout>
                  <c15:dlblFieldTable/>
                  <c15:showDataLabelsRange val="1"/>
                </c:ext>
                <c:ext xmlns:c16="http://schemas.microsoft.com/office/drawing/2014/chart" uri="{C3380CC4-5D6E-409C-BE32-E72D297353CC}">
                  <c16:uniqueId val="{0000000D-A0BA-4D69-A796-E56E4082BE61}"/>
                </c:ext>
              </c:extLst>
            </c:dLbl>
            <c:dLbl>
              <c:idx val="7"/>
              <c:layout>
                <c:manualLayout>
                  <c:x val="-0.24667120388546471"/>
                  <c:y val="-8.725771932835702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fld id="{8B3F990A-4514-4D24-9687-4D408F732BE3}"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65403104-5338-49E2-8CFA-F5FFA293D107}"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8AD28B25-5058-42AC-95BE-5249618A7AB6}"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4066221267796072"/>
                      <c:h val="6.4039979647457695E-2"/>
                    </c:manualLayout>
                  </c15:layout>
                  <c15:dlblFieldTable/>
                  <c15:showDataLabelsRange val="1"/>
                </c:ext>
                <c:ext xmlns:c16="http://schemas.microsoft.com/office/drawing/2014/chart" uri="{C3380CC4-5D6E-409C-BE32-E72D297353CC}">
                  <c16:uniqueId val="{0000000F-A0BA-4D69-A796-E56E4082BE61}"/>
                </c:ext>
              </c:extLst>
            </c:dLbl>
            <c:dLbl>
              <c:idx val="8"/>
              <c:layout>
                <c:manualLayout>
                  <c:x val="-0.10901547926445257"/>
                  <c:y val="-4.8191275899820189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fld id="{34455FF0-DB44-4F57-921D-5D49F69D8FEC}"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D1ACDF6E-6150-4784-9643-F14812620733}"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E9357958-667D-476D-B516-A4C6C2EBF9B5}"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11-A0BA-4D69-A796-E56E4082BE61}"/>
                </c:ext>
              </c:extLst>
            </c:dLbl>
            <c:dLbl>
              <c:idx val="9"/>
              <c:layout>
                <c:manualLayout>
                  <c:x val="0.15200461305973118"/>
                  <c:y val="-6.085369847003294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fld id="{2A450667-32D5-45C8-A622-E7BD57201E69}" type="CELLRANGE">
                      <a:rPr lang="en-US" baseline="0">
                        <a:solidFill>
                          <a:schemeClr val="tx1"/>
                        </a:solidFill>
                      </a:rPr>
                      <a:pPr>
                        <a:defRPr sz="850">
                          <a:solidFill>
                            <a:schemeClr val="tx1"/>
                          </a:solidFill>
                        </a:defRPr>
                      </a:pPr>
                      <a:t>[ДІАПАЗОН КЛІТИНОК]</a:t>
                    </a:fld>
                    <a:r>
                      <a:rPr lang="en-US" baseline="0">
                        <a:solidFill>
                          <a:schemeClr val="tx1"/>
                        </a:solidFill>
                      </a:rPr>
                      <a:t>; </a:t>
                    </a:r>
                    <a:fld id="{16BB6CE6-90D5-4EA3-8D30-BCC1738E85B0}" type="CATEGORYNAME">
                      <a:rPr lang="en-US" baseline="0">
                        <a:solidFill>
                          <a:schemeClr val="tx1"/>
                        </a:solidFill>
                      </a:rPr>
                      <a:pPr>
                        <a:defRPr sz="850">
                          <a:solidFill>
                            <a:schemeClr val="tx1"/>
                          </a:solidFill>
                        </a:defRPr>
                      </a:pPr>
                      <a:t>[ІМ’Я КАТЕГОРІЇ]</a:t>
                    </a:fld>
                    <a:r>
                      <a:rPr lang="en-US" baseline="0">
                        <a:solidFill>
                          <a:schemeClr val="tx1"/>
                        </a:solidFill>
                      </a:rPr>
                      <a:t>; </a:t>
                    </a:r>
                    <a:fld id="{2C2620C4-4F3B-41DA-B050-9DEA8BDF52DD}" type="PERCENTAGE">
                      <a:rPr lang="en-US" baseline="0">
                        <a:solidFill>
                          <a:schemeClr val="tx1"/>
                        </a:solidFill>
                      </a:rPr>
                      <a:pPr>
                        <a:defRPr sz="850">
                          <a:solidFill>
                            <a:schemeClr val="tx1"/>
                          </a:solidFill>
                        </a:defRPr>
                      </a:pPr>
                      <a:t>[ВІДСОТОК]</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13-A0BA-4D69-A796-E56E4082BE61}"/>
                </c:ext>
              </c:extLst>
            </c:dLbl>
            <c:dLbl>
              <c:idx val="10"/>
              <c:layout>
                <c:manualLayout>
                  <c:x val="0.36680554152632572"/>
                  <c:y val="-1.205250225501342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r>
                      <a:rPr lang="uk-UA" baseline="0">
                        <a:solidFill>
                          <a:schemeClr val="tx1"/>
                        </a:solidFill>
                      </a:rPr>
                      <a:t>7110,2;; поповнення статутного фонду </a:t>
                    </a:r>
                    <a:fld id="{5126F542-A189-4073-8D04-F6913DFBEEC5}" type="PERCENTAGE">
                      <a:rPr lang="en-US" baseline="0">
                        <a:solidFill>
                          <a:schemeClr val="tx1"/>
                        </a:solidFill>
                      </a:rPr>
                      <a:pPr>
                        <a:defRPr sz="850">
                          <a:solidFill>
                            <a:schemeClr val="tx1"/>
                          </a:solidFill>
                        </a:defRPr>
                      </a:pPr>
                      <a:t>[ВІДСОТОК]</a:t>
                    </a:fld>
                    <a:endParaRPr lang="uk-UA"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chemeClr val="tx1"/>
                      </a:solidFill>
                      <a:latin typeface="+mn-lt"/>
                      <a:ea typeface="+mn-ea"/>
                      <a:cs typeface="+mn-cs"/>
                    </a:defRPr>
                  </a:pPr>
                  <a:endParaRPr lang="uk-UA"/>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188069673109045"/>
                      <c:h val="6.5168034417962636E-2"/>
                    </c:manualLayout>
                  </c15:layout>
                  <c15:dlblFieldTable/>
                  <c15:showDataLabelsRange val="1"/>
                </c:ext>
                <c:ext xmlns:c16="http://schemas.microsoft.com/office/drawing/2014/chart" uri="{C3380CC4-5D6E-409C-BE32-E72D297353CC}">
                  <c16:uniqueId val="{00000015-A0BA-4D69-A796-E56E4082BE61}"/>
                </c:ext>
              </c:extLst>
            </c:dLbl>
            <c:spPr>
              <a:solidFill>
                <a:sysClr val="window" lastClr="FFFFFF"/>
              </a:solidFill>
              <a:ln>
                <a:solidFill>
                  <a:schemeClr val="tx1"/>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chemeClr val="tx1"/>
                    </a:solidFill>
                    <a:latin typeface="+mn-lt"/>
                    <a:ea typeface="+mn-ea"/>
                    <a:cs typeface="+mn-cs"/>
                  </a:defRPr>
                </a:pPr>
                <a:endParaRPr lang="uk-UA"/>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Видатки!$A$1:$A$11</c:f>
              <c:strCache>
                <c:ptCount val="11"/>
                <c:pt idx="0">
                  <c:v>освіта </c:v>
                </c:pt>
                <c:pt idx="1">
                  <c:v>держуправління</c:v>
                </c:pt>
                <c:pt idx="2">
                  <c:v>Житлово-комунальне господарство</c:v>
                </c:pt>
                <c:pt idx="3">
                  <c:v>фізична культура та спорт</c:v>
                </c:pt>
                <c:pt idx="4">
                  <c:v>культура</c:v>
                </c:pt>
                <c:pt idx="5">
                  <c:v>охорона здоров"я</c:v>
                </c:pt>
                <c:pt idx="6">
                  <c:v>дорожнє господарство</c:v>
                </c:pt>
                <c:pt idx="7">
                  <c:v>соцзахист</c:v>
                </c:pt>
                <c:pt idx="8">
                  <c:v>інше</c:v>
                </c:pt>
                <c:pt idx="9">
                  <c:v>Резервний фонд</c:v>
                </c:pt>
                <c:pt idx="10">
                  <c:v>поповнення статутних фондів</c:v>
                </c:pt>
              </c:strCache>
            </c:strRef>
          </c:cat>
          <c:val>
            <c:numRef>
              <c:f>Видатки!$B$1:$B$11</c:f>
              <c:numCache>
                <c:formatCode>#,##0.0</c:formatCode>
                <c:ptCount val="11"/>
                <c:pt idx="0">
                  <c:v>159544.1</c:v>
                </c:pt>
                <c:pt idx="1">
                  <c:v>54794.400000000001</c:v>
                </c:pt>
                <c:pt idx="2">
                  <c:v>49533.2</c:v>
                </c:pt>
                <c:pt idx="3">
                  <c:v>34594.199999999997</c:v>
                </c:pt>
                <c:pt idx="4">
                  <c:v>30475.8</c:v>
                </c:pt>
                <c:pt idx="5">
                  <c:v>26689</c:v>
                </c:pt>
                <c:pt idx="6">
                  <c:v>10185.700000000001</c:v>
                </c:pt>
                <c:pt idx="7">
                  <c:v>16011.1</c:v>
                </c:pt>
                <c:pt idx="8">
                  <c:v>9664.1</c:v>
                </c:pt>
                <c:pt idx="9" formatCode="General">
                  <c:v>400</c:v>
                </c:pt>
                <c:pt idx="10" formatCode="General">
                  <c:v>5627</c:v>
                </c:pt>
              </c:numCache>
            </c:numRef>
          </c:val>
          <c:extLst>
            <c:ext xmlns:c15="http://schemas.microsoft.com/office/drawing/2012/chart" uri="{02D57815-91ED-43cb-92C2-25804820EDAC}">
              <c15:datalabelsRange>
                <c15:f>Видатки!$B$1:$B$10</c15:f>
                <c15:dlblRangeCache>
                  <c:ptCount val="10"/>
                  <c:pt idx="0">
                    <c:v>159 544,1</c:v>
                  </c:pt>
                  <c:pt idx="1">
                    <c:v>54 794,4</c:v>
                  </c:pt>
                  <c:pt idx="2">
                    <c:v>49 533,2</c:v>
                  </c:pt>
                  <c:pt idx="3">
                    <c:v>34 594,2</c:v>
                  </c:pt>
                  <c:pt idx="4">
                    <c:v>30 475,8</c:v>
                  </c:pt>
                  <c:pt idx="5">
                    <c:v>26 689,0</c:v>
                  </c:pt>
                  <c:pt idx="6">
                    <c:v>10 185,7</c:v>
                  </c:pt>
                  <c:pt idx="7">
                    <c:v>16 011,1</c:v>
                  </c:pt>
                  <c:pt idx="8">
                    <c:v>9 664,1</c:v>
                  </c:pt>
                  <c:pt idx="9">
                    <c:v>400</c:v>
                  </c:pt>
                </c15:dlblRangeCache>
              </c15:datalabelsRange>
            </c:ext>
            <c:ext xmlns:c16="http://schemas.microsoft.com/office/drawing/2014/chart" uri="{C3380CC4-5D6E-409C-BE32-E72D297353CC}">
              <c16:uniqueId val="{00000016-A0BA-4D69-A796-E56E4082BE61}"/>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a:t>СТРУКТУРА ВИДАТКІВ В РОЗРІЗІ КЛАСИФІКАЦІЇ ВИДАТКІВ </a:t>
            </a:r>
          </a:p>
          <a:p>
            <a:pPr>
              <a:defRPr/>
            </a:pPr>
            <a:r>
              <a:rPr lang="ru-RU" cap="none" dirty="0"/>
              <a:t>на 2026 </a:t>
            </a:r>
            <a:r>
              <a:rPr lang="ru-RU" cap="none" dirty="0" err="1"/>
              <a:t>рік</a:t>
            </a:r>
            <a:r>
              <a:rPr lang="ru-RU" cap="none" dirty="0"/>
              <a:t>  </a:t>
            </a:r>
            <a:r>
              <a:rPr lang="ru-RU" dirty="0"/>
              <a:t>(</a:t>
            </a:r>
            <a:r>
              <a:rPr lang="ru-RU" cap="none" dirty="0"/>
              <a:t>з </a:t>
            </a:r>
            <a:r>
              <a:rPr lang="ru-RU" cap="none" dirty="0" err="1"/>
              <a:t>урахуванням</a:t>
            </a:r>
            <a:r>
              <a:rPr lang="ru-RU" cap="none" dirty="0"/>
              <a:t> </a:t>
            </a:r>
            <a:r>
              <a:rPr lang="ru-RU" cap="none" dirty="0" err="1"/>
              <a:t>трансфертів</a:t>
            </a:r>
            <a:r>
              <a:rPr lang="ru-RU" cap="all" dirty="0"/>
              <a:t>)</a:t>
            </a:r>
          </a:p>
          <a:p>
            <a:pPr>
              <a:defRPr/>
            </a:pPr>
            <a:r>
              <a:rPr lang="ru-RU" dirty="0"/>
              <a:t>397 518,6 </a:t>
            </a:r>
            <a:r>
              <a:rPr lang="ru-RU" cap="none" dirty="0"/>
              <a:t>тис. </a:t>
            </a:r>
            <a:r>
              <a:rPr lang="ru-RU" cap="none" dirty="0" err="1"/>
              <a:t>гривень</a:t>
            </a:r>
            <a:endParaRPr lang="ru-RU" dirty="0"/>
          </a:p>
        </c:rich>
      </c:tx>
      <c:layout>
        <c:manualLayout>
          <c:xMode val="edge"/>
          <c:yMode val="edge"/>
          <c:x val="0.17958438925494175"/>
          <c:y val="5.3393325834270719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646385841191792E-2"/>
          <c:y val="0.20696016003334258"/>
          <c:w val="0.85070722831761647"/>
          <c:h val="0.73900219293705893"/>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E8E-4C1A-8A2D-C42D4A05F2A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E8E-4C1A-8A2D-C42D4A05F2A2}"/>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0E8E-4C1A-8A2D-C42D4A05F2A2}"/>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0E8E-4C1A-8A2D-C42D4A05F2A2}"/>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0E8E-4C1A-8A2D-C42D4A05F2A2}"/>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0E8E-4C1A-8A2D-C42D4A05F2A2}"/>
              </c:ext>
            </c:extLst>
          </c:dPt>
          <c:dLbls>
            <c:dLbl>
              <c:idx val="0"/>
              <c:layout>
                <c:manualLayout>
                  <c:x val="-5.422839660965962E-2"/>
                  <c:y val="-0.32464103751736917"/>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ext>
                <c:ext xmlns:c16="http://schemas.microsoft.com/office/drawing/2014/chart" uri="{C3380CC4-5D6E-409C-BE32-E72D297353CC}">
                  <c16:uniqueId val="{00000001-0E8E-4C1A-8A2D-C42D4A05F2A2}"/>
                </c:ext>
              </c:extLst>
            </c:dLbl>
            <c:dLbl>
              <c:idx val="1"/>
              <c:layout>
                <c:manualLayout>
                  <c:x val="0.34920952544388617"/>
                  <c:y val="2.2650837123620267E-2"/>
                </c:manualLayout>
              </c:layout>
              <c:spPr>
                <a:xfrm>
                  <a:off x="6859991" y="6255888"/>
                  <a:ext cx="1325160" cy="5023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8750"/>
                        <a:gd name="adj2" fmla="val -8333"/>
                        <a:gd name="adj3" fmla="val 19381"/>
                        <a:gd name="adj4" fmla="val -6722"/>
                      </a:avLst>
                    </a:prstGeom>
                    <a:noFill/>
                    <a:ln>
                      <a:noFill/>
                    </a:ln>
                  </c15:spPr>
                  <c15:layout>
                    <c:manualLayout>
                      <c:w val="0.2345227372854233"/>
                      <c:h val="6.6612188258609234E-2"/>
                    </c:manualLayout>
                  </c15:layout>
                </c:ext>
                <c:ext xmlns:c16="http://schemas.microsoft.com/office/drawing/2014/chart" uri="{C3380CC4-5D6E-409C-BE32-E72D297353CC}">
                  <c16:uniqueId val="{00000003-0E8E-4C1A-8A2D-C42D4A05F2A2}"/>
                </c:ext>
              </c:extLst>
            </c:dLbl>
            <c:dLbl>
              <c:idx val="2"/>
              <c:layout>
                <c:manualLayout>
                  <c:x val="0.18119574890949072"/>
                  <c:y val="9.7538025138162079E-2"/>
                </c:manualLayout>
              </c:layout>
              <c:spPr>
                <a:xfrm>
                  <a:off x="6962605" y="5309444"/>
                  <a:ext cx="1705145" cy="4769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15:layout>
                    <c:manualLayout>
                      <c:w val="0.24101852076464006"/>
                      <c:h val="0.10328074562620153"/>
                    </c:manualLayout>
                  </c15:layout>
                </c:ext>
                <c:ext xmlns:c16="http://schemas.microsoft.com/office/drawing/2014/chart" uri="{C3380CC4-5D6E-409C-BE32-E72D297353CC}">
                  <c16:uniqueId val="{00000005-0E8E-4C1A-8A2D-C42D4A05F2A2}"/>
                </c:ext>
              </c:extLst>
            </c:dLbl>
            <c:dLbl>
              <c:idx val="3"/>
              <c:layout>
                <c:manualLayout>
                  <c:x val="-1.5804832295492243E-2"/>
                  <c:y val="2.078556748747247E-3"/>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17846454697470973"/>
                      <c:h val="0.10025578324448574"/>
                    </c:manualLayout>
                  </c15:layout>
                </c:ext>
                <c:ext xmlns:c16="http://schemas.microsoft.com/office/drawing/2014/chart" uri="{C3380CC4-5D6E-409C-BE32-E72D297353CC}">
                  <c16:uniqueId val="{00000007-0E8E-4C1A-8A2D-C42D4A05F2A2}"/>
                </c:ext>
              </c:extLst>
            </c:dLbl>
            <c:dLbl>
              <c:idx val="4"/>
              <c:layout>
                <c:manualLayout>
                  <c:x val="-1.9439012889526892E-2"/>
                  <c:y val="-0.12705455994884099"/>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manualLayout>
                      <c:w val="0.1656975468031017"/>
                      <c:h val="0.10826804258163382"/>
                    </c:manualLayout>
                  </c15:layout>
                </c:ext>
                <c:ext xmlns:c16="http://schemas.microsoft.com/office/drawing/2014/chart" uri="{C3380CC4-5D6E-409C-BE32-E72D297353CC}">
                  <c16:uniqueId val="{00000009-0E8E-4C1A-8A2D-C42D4A05F2A2}"/>
                </c:ext>
              </c:extLst>
            </c:dLbl>
            <c:dLbl>
              <c:idx val="5"/>
              <c:layout>
                <c:manualLayout>
                  <c:x val="1.1819535639023399E-2"/>
                  <c:y val="-1.5281394596715354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E76AE758-68D3-4E11-8A23-15F461A3B39B}" type="CATEGORYNAME">
                      <a:rPr lang="uk-UA"/>
                      <a:pPr>
                        <a:defRPr>
                          <a:solidFill>
                            <a:schemeClr val="tx1">
                              <a:lumMod val="75000"/>
                              <a:lumOff val="25000"/>
                            </a:schemeClr>
                          </a:solidFill>
                        </a:defRPr>
                      </a:pPr>
                      <a:t>[ІМ’Я КАТЕГОРІЇ]</a:t>
                    </a:fld>
                    <a:r>
                      <a:rPr lang="uk-UA" baseline="0" dirty="0"/>
                      <a:t>; </a:t>
                    </a:r>
                    <a:fld id="{BF74D1AA-7D35-4224-9F3A-034A98E72C63}" type="VALUE">
                      <a:rPr lang="uk-UA" baseline="0"/>
                      <a:pPr>
                        <a:defRPr>
                          <a:solidFill>
                            <a:schemeClr val="tx1">
                              <a:lumMod val="75000"/>
                              <a:lumOff val="25000"/>
                            </a:schemeClr>
                          </a:solidFill>
                        </a:defRPr>
                      </a:pPr>
                      <a:t>[ЗНАЧЕННЯ]</a:t>
                    </a:fld>
                    <a:r>
                      <a:rPr lang="uk-UA" baseline="0" dirty="0"/>
                      <a:t>; </a:t>
                    </a:r>
                    <a:fld id="{1AA73EEF-F656-411A-AEF7-3A134385330B}" type="PERCENTAGE">
                      <a:rPr lang="uk-UA" baseline="0" smtClean="0"/>
                      <a:pPr>
                        <a:defRPr>
                          <a:solidFill>
                            <a:schemeClr val="tx1">
                              <a:lumMod val="75000"/>
                              <a:lumOff val="25000"/>
                            </a:schemeClr>
                          </a:solidFill>
                        </a:defRPr>
                      </a:pPr>
                      <a:t>[ВІДСОТОК]</a:t>
                    </a:fld>
                    <a:r>
                      <a:rPr lang="uk-UA" baseline="0" dirty="0"/>
                      <a:t> (</a:t>
                    </a:r>
                    <a:r>
                      <a:rPr lang="uk-UA" baseline="0" dirty="0" err="1"/>
                      <a:t>придбання</a:t>
                    </a:r>
                    <a:r>
                      <a:rPr lang="uk-UA" baseline="0" dirty="0"/>
                      <a:t> </a:t>
                    </a:r>
                    <a:r>
                      <a:rPr lang="uk-UA" baseline="0" dirty="0" err="1"/>
                      <a:t>предметів</a:t>
                    </a:r>
                    <a:r>
                      <a:rPr lang="uk-UA" baseline="0" dirty="0"/>
                      <a:t> та </a:t>
                    </a:r>
                    <a:r>
                      <a:rPr lang="uk-UA" baseline="0" dirty="0" err="1"/>
                      <a:t>матеріалів</a:t>
                    </a:r>
                    <a:r>
                      <a:rPr lang="uk-UA" baseline="0" dirty="0"/>
                      <a:t>, оплата </a:t>
                    </a:r>
                    <a:r>
                      <a:rPr lang="uk-UA" baseline="0" dirty="0" err="1"/>
                      <a:t>послуг</a:t>
                    </a:r>
                    <a:r>
                      <a:rPr lang="uk-UA" baseline="0" dirty="0"/>
                      <a:t>, </a:t>
                    </a:r>
                    <a:r>
                      <a:rPr lang="uk-UA" baseline="0" dirty="0" err="1"/>
                      <a:t>робіт</a:t>
                    </a:r>
                    <a:r>
                      <a:rPr lang="uk-UA" baseline="0" dirty="0"/>
                      <a:t>, </a:t>
                    </a:r>
                    <a:r>
                      <a:rPr lang="uk-UA" baseline="0" dirty="0" err="1"/>
                      <a:t>відрядження</a:t>
                    </a:r>
                    <a:r>
                      <a:rPr lang="uk-UA" baseline="0" dirty="0"/>
                      <a:t>, та </a:t>
                    </a:r>
                    <a:r>
                      <a:rPr lang="uk-UA" baseline="0" dirty="0" err="1"/>
                      <a:t>інш</a:t>
                    </a:r>
                    <a:r>
                      <a:rPr lang="uk-UA" baseline="0" dirty="0"/>
                      <a:t>.)</a:t>
                    </a: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5003021099808037"/>
                      <c:h val="0.16352749384587797"/>
                    </c:manualLayout>
                  </c15:layout>
                  <c15:dlblFieldTable/>
                  <c15:showDataLabelsRange val="0"/>
                </c:ext>
                <c:ext xmlns:c16="http://schemas.microsoft.com/office/drawing/2014/chart" uri="{C3380CC4-5D6E-409C-BE32-E72D297353CC}">
                  <c16:uniqueId val="{0000000B-0E8E-4C1A-8A2D-C42D4A05F2A2}"/>
                </c:ext>
              </c:extLst>
            </c:dLbl>
            <c:spPr>
              <a:solidFill>
                <a:sysClr val="window" lastClr="FFFFFF"/>
              </a:solidFill>
              <a:ln>
                <a:solidFill>
                  <a:srgbClr val="5B9BD5"/>
                </a:solidFill>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0">
                  <c:v>Оплата праці з нарахуваннями</c:v>
                </c:pt>
                <c:pt idx="1">
                  <c:v>Продукти харчування</c:v>
                </c:pt>
                <c:pt idx="2">
                  <c:v>Оплата комунальних послуг і енергоносіїв</c:v>
                </c:pt>
                <c:pt idx="3">
                  <c:v>Соціальне забезпечення</c:v>
                </c:pt>
                <c:pt idx="4">
                  <c:v>Видатки бюджету розвитку</c:v>
                </c:pt>
                <c:pt idx="5">
                  <c:v>Інші видатки</c:v>
                </c:pt>
              </c:strCache>
            </c:strRef>
          </c:cat>
          <c:val>
            <c:numRef>
              <c:f>вид.заг.фонд!$B$87:$B$92</c:f>
              <c:numCache>
                <c:formatCode>General</c:formatCode>
                <c:ptCount val="6"/>
                <c:pt idx="0">
                  <c:v>207087.9</c:v>
                </c:pt>
                <c:pt idx="1">
                  <c:v>4170</c:v>
                </c:pt>
                <c:pt idx="2">
                  <c:v>27347.8</c:v>
                </c:pt>
                <c:pt idx="3">
                  <c:v>4290.3999999999996</c:v>
                </c:pt>
                <c:pt idx="4">
                  <c:v>36620</c:v>
                </c:pt>
                <c:pt idx="5">
                  <c:v>118002.5</c:v>
                </c:pt>
              </c:numCache>
            </c:numRef>
          </c:val>
          <c:extLst>
            <c:ext xmlns:c16="http://schemas.microsoft.com/office/drawing/2014/chart" uri="{C3380CC4-5D6E-409C-BE32-E72D297353CC}">
              <c16:uniqueId val="{0000000C-0E8E-4C1A-8A2D-C42D4A05F2A2}"/>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A20F5-5762-4BD2-A1AE-EF19381F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25</Pages>
  <Words>33809</Words>
  <Characters>19272</Characters>
  <Application>Microsoft Office Word</Application>
  <DocSecurity>0</DocSecurity>
  <Lines>160</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196</cp:revision>
  <cp:lastPrinted>2024-12-09T07:55:00Z</cp:lastPrinted>
  <dcterms:created xsi:type="dcterms:W3CDTF">2025-12-15T13:54:00Z</dcterms:created>
  <dcterms:modified xsi:type="dcterms:W3CDTF">2025-12-19T11:53:00Z</dcterms:modified>
</cp:coreProperties>
</file>